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09B09" w14:textId="63DE796C" w:rsidR="001E7B61" w:rsidRPr="00664921" w:rsidRDefault="001E7B61" w:rsidP="00651F06">
      <w:pPr>
        <w:rPr>
          <w:rFonts w:ascii="Times New Roman" w:hAnsi="Times New Roman" w:cs="Times New Roman"/>
          <w:i/>
          <w:iCs/>
          <w:color w:val="000000" w:themeColor="text1"/>
        </w:rPr>
      </w:pPr>
      <w:r w:rsidRPr="00664921">
        <w:rPr>
          <w:rFonts w:ascii="Times New Roman" w:hAnsi="Times New Roman" w:cs="Times New Roman"/>
          <w:i/>
          <w:iCs/>
          <w:color w:val="000000" w:themeColor="text1"/>
        </w:rPr>
        <w:t>H-France Forum</w:t>
      </w:r>
    </w:p>
    <w:p w14:paraId="05A8B19D" w14:textId="67C13D62" w:rsidR="00A925A1" w:rsidRPr="00664921" w:rsidRDefault="001E7B61" w:rsidP="00651F06">
      <w:pPr>
        <w:spacing w:after="480"/>
        <w:rPr>
          <w:rFonts w:ascii="Times New Roman" w:hAnsi="Times New Roman" w:cs="Times New Roman"/>
          <w:color w:val="000000" w:themeColor="text1"/>
        </w:rPr>
      </w:pPr>
      <w:r w:rsidRPr="00664921">
        <w:rPr>
          <w:rFonts w:ascii="Times New Roman" w:hAnsi="Times New Roman" w:cs="Times New Roman"/>
          <w:color w:val="000000" w:themeColor="text1"/>
        </w:rPr>
        <w:t>Volume 20 (2025), Issue 4, #4</w:t>
      </w:r>
    </w:p>
    <w:p w14:paraId="681D4EE9" w14:textId="13E975F2" w:rsidR="00C84FB1" w:rsidRDefault="00A925A1" w:rsidP="00651F06">
      <w:pPr>
        <w:spacing w:after="480"/>
        <w:rPr>
          <w:rFonts w:ascii="Times New Roman" w:hAnsi="Times New Roman" w:cs="Times New Roman"/>
          <w:color w:val="000000" w:themeColor="text1"/>
        </w:rPr>
      </w:pPr>
      <w:r w:rsidRPr="00664921">
        <w:rPr>
          <w:rFonts w:ascii="Times New Roman" w:hAnsi="Times New Roman" w:cs="Times New Roman"/>
          <w:color w:val="000000" w:themeColor="text1"/>
          <w:lang w:val="fr-FR"/>
        </w:rPr>
        <w:t xml:space="preserve">Paul-Alexis </w:t>
      </w:r>
      <w:proofErr w:type="spellStart"/>
      <w:r w:rsidRPr="00664921">
        <w:rPr>
          <w:rFonts w:ascii="Times New Roman" w:hAnsi="Times New Roman" w:cs="Times New Roman"/>
          <w:color w:val="000000" w:themeColor="text1"/>
          <w:lang w:val="fr-FR"/>
        </w:rPr>
        <w:t>Mellet</w:t>
      </w:r>
      <w:proofErr w:type="spellEnd"/>
      <w:r w:rsidRPr="00664921">
        <w:rPr>
          <w:rFonts w:ascii="Times New Roman" w:hAnsi="Times New Roman" w:cs="Times New Roman"/>
          <w:color w:val="000000" w:themeColor="text1"/>
          <w:lang w:val="fr-FR"/>
        </w:rPr>
        <w:t xml:space="preserve">, </w:t>
      </w:r>
      <w:r w:rsidRPr="00664921">
        <w:rPr>
          <w:rFonts w:ascii="Times New Roman" w:hAnsi="Times New Roman" w:cs="Times New Roman"/>
          <w:i/>
          <w:iCs/>
          <w:color w:val="000000" w:themeColor="text1"/>
          <w:lang w:val="fr-FR"/>
        </w:rPr>
        <w:t xml:space="preserve">Les </w:t>
      </w:r>
      <w:proofErr w:type="gramStart"/>
      <w:r w:rsidRPr="00664921">
        <w:rPr>
          <w:rFonts w:ascii="Times New Roman" w:hAnsi="Times New Roman" w:cs="Times New Roman"/>
          <w:i/>
          <w:iCs/>
          <w:color w:val="000000" w:themeColor="text1"/>
          <w:lang w:val="fr-FR"/>
        </w:rPr>
        <w:t>Remontrances</w:t>
      </w:r>
      <w:r w:rsidR="008C2961">
        <w:rPr>
          <w:rFonts w:ascii="Times New Roman" w:hAnsi="Times New Roman" w:cs="Times New Roman"/>
          <w:i/>
          <w:iCs/>
          <w:color w:val="000000" w:themeColor="text1"/>
          <w:lang w:val="fr-FR"/>
        </w:rPr>
        <w:t>:</w:t>
      </w:r>
      <w:proofErr w:type="gramEnd"/>
      <w:r w:rsidR="008C2961">
        <w:rPr>
          <w:rFonts w:ascii="Times New Roman" w:hAnsi="Times New Roman" w:cs="Times New Roman"/>
          <w:i/>
          <w:iCs/>
          <w:color w:val="000000" w:themeColor="text1"/>
          <w:lang w:val="fr-FR"/>
        </w:rPr>
        <w:t xml:space="preserve"> d</w:t>
      </w:r>
      <w:r w:rsidRPr="00664921">
        <w:rPr>
          <w:rFonts w:ascii="Times New Roman" w:hAnsi="Times New Roman" w:cs="Times New Roman"/>
          <w:i/>
          <w:iCs/>
          <w:color w:val="000000" w:themeColor="text1"/>
          <w:lang w:val="fr-FR"/>
        </w:rPr>
        <w:t>iscours de paix et de justice en temps de guerre. Une autre histoire des guerres de religion (France, v. 1557-v. 1603).</w:t>
      </w:r>
      <w:r w:rsidRPr="00664921">
        <w:rPr>
          <w:rFonts w:ascii="Times New Roman" w:hAnsi="Times New Roman" w:cs="Times New Roman"/>
          <w:color w:val="000000" w:themeColor="text1"/>
          <w:lang w:val="fr-FR"/>
        </w:rPr>
        <w:t xml:space="preserve"> Cahiers d’Humanisme et Renaissance, no. 186. Geneva: Droz, 2022. 588 pp. Notes, bibliography, and indices. </w:t>
      </w:r>
      <w:r w:rsidRPr="00664921">
        <w:rPr>
          <w:rFonts w:ascii="Times New Roman" w:hAnsi="Times New Roman" w:cs="Times New Roman"/>
          <w:color w:val="000000" w:themeColor="text1"/>
        </w:rPr>
        <w:t>36.97 € (pb). ISBN: 978-2-600-06336-4.</w:t>
      </w:r>
    </w:p>
    <w:p w14:paraId="29295631" w14:textId="2EEF27AE" w:rsidR="00C84FB1" w:rsidRPr="00FC07A5" w:rsidRDefault="0021433E" w:rsidP="00FC07A5">
      <w:pPr>
        <w:pStyle w:val="Heading1"/>
      </w:pPr>
      <w:r w:rsidRPr="00FC07A5">
        <w:t>Review by David van der Linden, University of Groningen</w:t>
      </w:r>
    </w:p>
    <w:p w14:paraId="6CB74629" w14:textId="77777777" w:rsidR="00C84FB1" w:rsidRDefault="00486826"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The </w:t>
      </w:r>
      <w:r w:rsidR="00492C4A" w:rsidRPr="00664921">
        <w:rPr>
          <w:rFonts w:ascii="Times New Roman" w:hAnsi="Times New Roman" w:cs="Times New Roman"/>
          <w:color w:val="000000" w:themeColor="text1"/>
        </w:rPr>
        <w:t xml:space="preserve">history </w:t>
      </w:r>
      <w:r w:rsidRPr="00664921">
        <w:rPr>
          <w:rFonts w:ascii="Times New Roman" w:hAnsi="Times New Roman" w:cs="Times New Roman"/>
          <w:color w:val="000000" w:themeColor="text1"/>
        </w:rPr>
        <w:t xml:space="preserve">of the French Wars of Religion has long been written as one of </w:t>
      </w:r>
      <w:r w:rsidR="000C6A86" w:rsidRPr="00664921">
        <w:rPr>
          <w:rFonts w:ascii="Times New Roman" w:hAnsi="Times New Roman" w:cs="Times New Roman"/>
          <w:color w:val="000000" w:themeColor="text1"/>
        </w:rPr>
        <w:t xml:space="preserve">religious </w:t>
      </w:r>
      <w:r w:rsidR="002A5CC5" w:rsidRPr="00664921">
        <w:rPr>
          <w:rFonts w:ascii="Times New Roman" w:hAnsi="Times New Roman" w:cs="Times New Roman"/>
          <w:color w:val="000000" w:themeColor="text1"/>
        </w:rPr>
        <w:t>violence</w:t>
      </w:r>
      <w:r w:rsidR="00554BD4" w:rsidRPr="00664921">
        <w:rPr>
          <w:rFonts w:ascii="Times New Roman" w:hAnsi="Times New Roman" w:cs="Times New Roman"/>
          <w:color w:val="000000" w:themeColor="text1"/>
        </w:rPr>
        <w:t xml:space="preserve"> and political backstabbing</w:t>
      </w:r>
      <w:r w:rsidRPr="00664921">
        <w:rPr>
          <w:rFonts w:ascii="Times New Roman" w:hAnsi="Times New Roman" w:cs="Times New Roman"/>
          <w:color w:val="000000" w:themeColor="text1"/>
        </w:rPr>
        <w:t xml:space="preserve">, until King Henry IV </w:t>
      </w:r>
      <w:r w:rsidR="001E7B61" w:rsidRPr="00664921">
        <w:rPr>
          <w:rFonts w:ascii="Times New Roman" w:hAnsi="Times New Roman" w:cs="Times New Roman"/>
          <w:color w:val="000000" w:themeColor="text1"/>
        </w:rPr>
        <w:t xml:space="preserve">in 1598 </w:t>
      </w:r>
      <w:r w:rsidR="00277807" w:rsidRPr="00664921">
        <w:rPr>
          <w:rFonts w:ascii="Times New Roman" w:hAnsi="Times New Roman" w:cs="Times New Roman"/>
          <w:color w:val="000000" w:themeColor="text1"/>
        </w:rPr>
        <w:t xml:space="preserve">restored order </w:t>
      </w:r>
      <w:r w:rsidR="00492C4A" w:rsidRPr="00664921">
        <w:rPr>
          <w:rFonts w:ascii="Times New Roman" w:hAnsi="Times New Roman" w:cs="Times New Roman"/>
          <w:color w:val="000000" w:themeColor="text1"/>
        </w:rPr>
        <w:t xml:space="preserve">by issuing </w:t>
      </w:r>
      <w:r w:rsidRPr="00664921">
        <w:rPr>
          <w:rFonts w:ascii="Times New Roman" w:hAnsi="Times New Roman" w:cs="Times New Roman"/>
          <w:color w:val="000000" w:themeColor="text1"/>
        </w:rPr>
        <w:t>the Edict of Nantes</w:t>
      </w:r>
      <w:r w:rsidR="00277807" w:rsidRPr="00664921">
        <w:rPr>
          <w:rFonts w:ascii="Times New Roman" w:hAnsi="Times New Roman" w:cs="Times New Roman"/>
          <w:color w:val="000000" w:themeColor="text1"/>
        </w:rPr>
        <w:t xml:space="preserve">, which proclaimed </w:t>
      </w:r>
      <w:r w:rsidR="00EB39CD" w:rsidRPr="00664921">
        <w:rPr>
          <w:rFonts w:ascii="Times New Roman" w:hAnsi="Times New Roman" w:cs="Times New Roman"/>
          <w:color w:val="000000" w:themeColor="text1"/>
        </w:rPr>
        <w:t>toleration between Catholics and Protestants</w:t>
      </w:r>
      <w:r w:rsidRPr="00664921">
        <w:rPr>
          <w:rFonts w:ascii="Times New Roman" w:hAnsi="Times New Roman" w:cs="Times New Roman"/>
          <w:color w:val="000000" w:themeColor="text1"/>
        </w:rPr>
        <w:t xml:space="preserve">. </w:t>
      </w:r>
      <w:r w:rsidR="00492C4A" w:rsidRPr="00664921">
        <w:rPr>
          <w:rFonts w:ascii="Times New Roman" w:hAnsi="Times New Roman" w:cs="Times New Roman"/>
          <w:color w:val="000000" w:themeColor="text1"/>
        </w:rPr>
        <w:t>B</w:t>
      </w:r>
      <w:r w:rsidR="00277807" w:rsidRPr="00664921">
        <w:rPr>
          <w:rFonts w:ascii="Times New Roman" w:hAnsi="Times New Roman" w:cs="Times New Roman"/>
          <w:color w:val="000000" w:themeColor="text1"/>
        </w:rPr>
        <w:t>y</w:t>
      </w:r>
      <w:r w:rsidR="0021433E" w:rsidRPr="00664921">
        <w:rPr>
          <w:rFonts w:ascii="Times New Roman" w:hAnsi="Times New Roman" w:cs="Times New Roman"/>
          <w:color w:val="000000" w:themeColor="text1"/>
        </w:rPr>
        <w:t xml:space="preserve"> the 1970s</w:t>
      </w:r>
      <w:r w:rsidR="001E7B61" w:rsidRPr="00664921">
        <w:rPr>
          <w:rFonts w:ascii="Times New Roman" w:hAnsi="Times New Roman" w:cs="Times New Roman"/>
          <w:color w:val="000000" w:themeColor="text1"/>
        </w:rPr>
        <w:t>,</w:t>
      </w:r>
      <w:r w:rsidR="00492C4A" w:rsidRPr="00664921">
        <w:rPr>
          <w:rFonts w:ascii="Times New Roman" w:hAnsi="Times New Roman" w:cs="Times New Roman"/>
          <w:color w:val="000000" w:themeColor="text1"/>
        </w:rPr>
        <w:t xml:space="preserve"> the first cracks began to appear in this story, as </w:t>
      </w:r>
      <w:r w:rsidR="0021433E" w:rsidRPr="00664921">
        <w:rPr>
          <w:rFonts w:ascii="Times New Roman" w:hAnsi="Times New Roman" w:cs="Times New Roman"/>
          <w:color w:val="000000" w:themeColor="text1"/>
        </w:rPr>
        <w:t xml:space="preserve">cultural </w:t>
      </w:r>
      <w:r w:rsidRPr="00664921">
        <w:rPr>
          <w:rFonts w:ascii="Times New Roman" w:hAnsi="Times New Roman" w:cs="Times New Roman"/>
          <w:color w:val="000000" w:themeColor="text1"/>
        </w:rPr>
        <w:t xml:space="preserve">historians </w:t>
      </w:r>
      <w:r w:rsidR="00EB39CD" w:rsidRPr="00664921">
        <w:rPr>
          <w:rFonts w:ascii="Times New Roman" w:hAnsi="Times New Roman" w:cs="Times New Roman"/>
          <w:color w:val="000000" w:themeColor="text1"/>
        </w:rPr>
        <w:t xml:space="preserve">in France </w:t>
      </w:r>
      <w:r w:rsidRPr="00664921">
        <w:rPr>
          <w:rFonts w:ascii="Times New Roman" w:hAnsi="Times New Roman" w:cs="Times New Roman"/>
          <w:color w:val="000000" w:themeColor="text1"/>
        </w:rPr>
        <w:t>and the Anglophone</w:t>
      </w:r>
      <w:r w:rsidR="00EB39CD" w:rsidRPr="00664921">
        <w:rPr>
          <w:rFonts w:ascii="Times New Roman" w:hAnsi="Times New Roman" w:cs="Times New Roman"/>
          <w:color w:val="000000" w:themeColor="text1"/>
        </w:rPr>
        <w:t xml:space="preserve"> </w:t>
      </w:r>
      <w:r w:rsidR="0021433E" w:rsidRPr="00664921">
        <w:rPr>
          <w:rFonts w:ascii="Times New Roman" w:hAnsi="Times New Roman" w:cs="Times New Roman"/>
          <w:color w:val="000000" w:themeColor="text1"/>
        </w:rPr>
        <w:t>world reject</w:t>
      </w:r>
      <w:r w:rsidR="00492C4A" w:rsidRPr="00664921">
        <w:rPr>
          <w:rFonts w:ascii="Times New Roman" w:hAnsi="Times New Roman" w:cs="Times New Roman"/>
          <w:color w:val="000000" w:themeColor="text1"/>
        </w:rPr>
        <w:t xml:space="preserve">ed </w:t>
      </w:r>
      <w:r w:rsidR="0021433E" w:rsidRPr="00664921">
        <w:rPr>
          <w:rFonts w:ascii="Times New Roman" w:hAnsi="Times New Roman" w:cs="Times New Roman"/>
          <w:color w:val="000000" w:themeColor="text1"/>
        </w:rPr>
        <w:t xml:space="preserve">the </w:t>
      </w:r>
      <w:r w:rsidR="00277807" w:rsidRPr="00664921">
        <w:rPr>
          <w:rFonts w:ascii="Times New Roman" w:hAnsi="Times New Roman" w:cs="Times New Roman"/>
          <w:color w:val="000000" w:themeColor="text1"/>
        </w:rPr>
        <w:t>notion</w:t>
      </w:r>
      <w:r w:rsidR="0021433E" w:rsidRPr="00664921">
        <w:rPr>
          <w:rFonts w:ascii="Times New Roman" w:hAnsi="Times New Roman" w:cs="Times New Roman"/>
          <w:color w:val="000000" w:themeColor="text1"/>
        </w:rPr>
        <w:t xml:space="preserve"> that the wars </w:t>
      </w:r>
      <w:r w:rsidR="00492C4A" w:rsidRPr="00664921">
        <w:rPr>
          <w:rFonts w:ascii="Times New Roman" w:hAnsi="Times New Roman" w:cs="Times New Roman"/>
          <w:color w:val="000000" w:themeColor="text1"/>
        </w:rPr>
        <w:t xml:space="preserve">were </w:t>
      </w:r>
      <w:r w:rsidR="0021433E" w:rsidRPr="00664921">
        <w:rPr>
          <w:rFonts w:ascii="Times New Roman" w:hAnsi="Times New Roman" w:cs="Times New Roman"/>
          <w:color w:val="000000" w:themeColor="text1"/>
        </w:rPr>
        <w:t>driven by the ambitions of rebellious noble houses or rising middle classes</w:t>
      </w:r>
      <w:r w:rsidR="00492C4A" w:rsidRPr="00664921">
        <w:rPr>
          <w:rFonts w:ascii="Times New Roman" w:hAnsi="Times New Roman" w:cs="Times New Roman"/>
          <w:color w:val="000000" w:themeColor="text1"/>
        </w:rPr>
        <w:t xml:space="preserve">. Their </w:t>
      </w:r>
      <w:r w:rsidR="0021433E" w:rsidRPr="00664921">
        <w:rPr>
          <w:rFonts w:ascii="Times New Roman" w:hAnsi="Times New Roman" w:cs="Times New Roman"/>
          <w:color w:val="000000" w:themeColor="text1"/>
        </w:rPr>
        <w:t xml:space="preserve">work </w:t>
      </w:r>
      <w:r w:rsidR="00492C4A" w:rsidRPr="00664921">
        <w:rPr>
          <w:rFonts w:ascii="Times New Roman" w:hAnsi="Times New Roman" w:cs="Times New Roman"/>
          <w:color w:val="000000" w:themeColor="text1"/>
        </w:rPr>
        <w:t xml:space="preserve">nonetheless remained </w:t>
      </w:r>
      <w:r w:rsidR="0021433E" w:rsidRPr="00664921">
        <w:rPr>
          <w:rFonts w:ascii="Times New Roman" w:hAnsi="Times New Roman" w:cs="Times New Roman"/>
          <w:color w:val="000000" w:themeColor="text1"/>
        </w:rPr>
        <w:t xml:space="preserve">focused on religious violence. Scholars </w:t>
      </w:r>
      <w:r w:rsidR="00EB39CD" w:rsidRPr="00664921">
        <w:rPr>
          <w:rFonts w:ascii="Times New Roman" w:hAnsi="Times New Roman" w:cs="Times New Roman"/>
          <w:color w:val="000000" w:themeColor="text1"/>
        </w:rPr>
        <w:t xml:space="preserve">such Natalie Zemon Davis and Denis Crouzet </w:t>
      </w:r>
      <w:r w:rsidR="00554BD4" w:rsidRPr="00664921">
        <w:rPr>
          <w:rFonts w:ascii="Times New Roman" w:hAnsi="Times New Roman" w:cs="Times New Roman"/>
          <w:color w:val="000000" w:themeColor="text1"/>
        </w:rPr>
        <w:t xml:space="preserve">argued that </w:t>
      </w:r>
      <w:r w:rsidRPr="00664921">
        <w:rPr>
          <w:rFonts w:ascii="Times New Roman" w:hAnsi="Times New Roman" w:cs="Times New Roman"/>
          <w:color w:val="000000" w:themeColor="text1"/>
        </w:rPr>
        <w:t>Catholics and Protestants</w:t>
      </w:r>
      <w:r w:rsidR="001E7B61" w:rsidRPr="00664921">
        <w:rPr>
          <w:rFonts w:ascii="Times New Roman" w:hAnsi="Times New Roman" w:cs="Times New Roman"/>
          <w:color w:val="000000" w:themeColor="text1"/>
        </w:rPr>
        <w:t>,</w:t>
      </w:r>
      <w:r w:rsidR="00EB39CD" w:rsidRPr="00664921">
        <w:rPr>
          <w:rFonts w:ascii="Times New Roman" w:hAnsi="Times New Roman" w:cs="Times New Roman"/>
          <w:color w:val="000000" w:themeColor="text1"/>
        </w:rPr>
        <w:t xml:space="preserve"> encouraged by preachers and reams of hateful print</w:t>
      </w:r>
      <w:r w:rsidR="001E7B61" w:rsidRPr="00664921">
        <w:rPr>
          <w:rFonts w:ascii="Times New Roman" w:hAnsi="Times New Roman" w:cs="Times New Roman"/>
          <w:color w:val="000000" w:themeColor="text1"/>
        </w:rPr>
        <w:t xml:space="preserve">, </w:t>
      </w:r>
      <w:r w:rsidR="00EB39CD" w:rsidRPr="00664921">
        <w:rPr>
          <w:rFonts w:ascii="Times New Roman" w:hAnsi="Times New Roman" w:cs="Times New Roman"/>
          <w:color w:val="000000" w:themeColor="text1"/>
        </w:rPr>
        <w:t xml:space="preserve">came to view the other as a threat to society that had to be </w:t>
      </w:r>
      <w:r w:rsidRPr="00664921">
        <w:rPr>
          <w:rFonts w:ascii="Times New Roman" w:hAnsi="Times New Roman" w:cs="Times New Roman"/>
          <w:color w:val="000000" w:themeColor="text1"/>
        </w:rPr>
        <w:t>exterminate</w:t>
      </w:r>
      <w:r w:rsidR="00EB39CD" w:rsidRPr="00664921">
        <w:rPr>
          <w:rFonts w:ascii="Times New Roman" w:hAnsi="Times New Roman" w:cs="Times New Roman"/>
          <w:color w:val="000000" w:themeColor="text1"/>
        </w:rPr>
        <w:t>d</w:t>
      </w:r>
      <w:r w:rsidRPr="00664921">
        <w:rPr>
          <w:rFonts w:ascii="Times New Roman" w:hAnsi="Times New Roman" w:cs="Times New Roman"/>
          <w:color w:val="000000" w:themeColor="text1"/>
        </w:rPr>
        <w:t xml:space="preserve">. </w:t>
      </w:r>
      <w:r w:rsidR="00F20696" w:rsidRPr="00664921">
        <w:rPr>
          <w:rFonts w:ascii="Times New Roman" w:hAnsi="Times New Roman" w:cs="Times New Roman"/>
          <w:color w:val="000000" w:themeColor="text1"/>
        </w:rPr>
        <w:t xml:space="preserve">By “putting religion back into the Wars of Religion,” as Mack Holt has famously put it, a generation of cultural historians </w:t>
      </w:r>
      <w:r w:rsidR="0021433E" w:rsidRPr="00664921">
        <w:rPr>
          <w:rFonts w:ascii="Times New Roman" w:hAnsi="Times New Roman" w:cs="Times New Roman"/>
          <w:color w:val="000000" w:themeColor="text1"/>
        </w:rPr>
        <w:t xml:space="preserve">essentially attributed the violence to a </w:t>
      </w:r>
      <w:r w:rsidR="00F20696" w:rsidRPr="00664921">
        <w:rPr>
          <w:rFonts w:ascii="Times New Roman" w:hAnsi="Times New Roman" w:cs="Times New Roman"/>
          <w:color w:val="000000" w:themeColor="text1"/>
        </w:rPr>
        <w:t>clash of religious cultures</w:t>
      </w:r>
      <w:r w:rsidR="0021433E" w:rsidRPr="00664921">
        <w:rPr>
          <w:rFonts w:ascii="Times New Roman" w:hAnsi="Times New Roman" w:cs="Times New Roman"/>
          <w:color w:val="000000" w:themeColor="text1"/>
        </w:rPr>
        <w:t>.</w:t>
      </w:r>
      <w:r w:rsidR="002A5CC5" w:rsidRPr="00664921">
        <w:rPr>
          <w:rFonts w:ascii="Times New Roman" w:hAnsi="Times New Roman" w:cs="Times New Roman"/>
          <w:color w:val="000000" w:themeColor="text1"/>
        </w:rPr>
        <w:t>[1]</w:t>
      </w:r>
      <w:r w:rsidR="007A7EF9" w:rsidRPr="00664921">
        <w:rPr>
          <w:rFonts w:ascii="Times New Roman" w:hAnsi="Times New Roman" w:cs="Times New Roman"/>
          <w:color w:val="000000" w:themeColor="text1"/>
        </w:rPr>
        <w:t xml:space="preserve"> Yet over the past decade or so a new narrative has begun to emerge, one that stresses the attempts of the monarchy, local elites, and citizens to build peace, restore justice, and heal the scars of civil war. For if the French religious wars are best known for outbreaks of mass violence, they also generated unprecedented experiments in conflict resolution. As Penny Roberts and Jérémie Foa have shown, each phase of the troubles was brought to an end by an edict of pacification and royal commissioners, who travelled up and down the kingdom to settle disputes and prevent the renewal of war. In a similar vein, Sylvie Daubresse and Tom Hamilton have shown that the justice system could help to calm tensions.[2]</w:t>
      </w:r>
    </w:p>
    <w:p w14:paraId="280C51D3"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Paul-Alexis </w:t>
      </w:r>
      <w:r w:rsidRPr="00664921">
        <w:rPr>
          <w:rStyle w:val="il"/>
          <w:rFonts w:ascii="Times New Roman" w:hAnsi="Times New Roman" w:cs="Times New Roman"/>
          <w:color w:val="000000" w:themeColor="text1"/>
        </w:rPr>
        <w:t>Mellet</w:t>
      </w:r>
      <w:r w:rsidRPr="00664921">
        <w:rPr>
          <w:rFonts w:ascii="Times New Roman" w:hAnsi="Times New Roman" w:cs="Times New Roman"/>
          <w:color w:val="000000" w:themeColor="text1"/>
        </w:rPr>
        <w:t>’s latest work falls squarely within this new approach to the French religious wars. In this wide-ranging and meticulously researched book, Mellet surveys a hitherto neglected corpus of wartime remonstrances to analyse what he calls discourses of peace and justice during times of war. These remonstrances were essentially humble declarations</w:t>
      </w:r>
      <w:r w:rsidR="001E7B61"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 xml:space="preserve"> usually pronounced orally before the king, but sometimes also printed</w:t>
      </w:r>
      <w:r w:rsidR="001E7B61" w:rsidRPr="00664921">
        <w:rPr>
          <w:rFonts w:ascii="Times New Roman" w:hAnsi="Times New Roman" w:cs="Times New Roman"/>
          <w:color w:val="000000" w:themeColor="text1"/>
        </w:rPr>
        <w:t xml:space="preserve">, </w:t>
      </w:r>
      <w:r w:rsidRPr="00664921">
        <w:rPr>
          <w:rFonts w:ascii="Times New Roman" w:hAnsi="Times New Roman" w:cs="Times New Roman"/>
          <w:color w:val="000000" w:themeColor="text1"/>
        </w:rPr>
        <w:t xml:space="preserve">that denounced the spiritual and political woes that befell the kingdom, asked to restore peace and justice, and often made tangible suggestions to reform church and state. Mellet’s detailed reading of 377 printed remonstrances, published between 1557 and 1603, reveals a discourse that is indeed strikingly different from what many scholars, especially those who have relied on printed material, have  come </w:t>
      </w:r>
      <w:r w:rsidR="001E7B61" w:rsidRPr="00664921">
        <w:rPr>
          <w:rFonts w:ascii="Times New Roman" w:hAnsi="Times New Roman" w:cs="Times New Roman"/>
          <w:color w:val="000000" w:themeColor="text1"/>
        </w:rPr>
        <w:t xml:space="preserve">to </w:t>
      </w:r>
      <w:r w:rsidRPr="00664921">
        <w:rPr>
          <w:rFonts w:ascii="Times New Roman" w:hAnsi="Times New Roman" w:cs="Times New Roman"/>
          <w:color w:val="000000" w:themeColor="text1"/>
        </w:rPr>
        <w:t xml:space="preserve">expect as normal or even normative about the wars. Mellet highlights the recurring pleas to end the wars through negotiation, to administer justice, uphold the edicts of pacification, and work towards the union of citizens divided by faith. In 1574, for instance, the Protestant jurist Innocent Gentillet, who had escaped the St Bartholomew’s Day massacre </w:t>
      </w:r>
      <w:r w:rsidR="001E7B61" w:rsidRPr="00664921">
        <w:rPr>
          <w:rFonts w:ascii="Times New Roman" w:hAnsi="Times New Roman" w:cs="Times New Roman"/>
          <w:color w:val="000000" w:themeColor="text1"/>
        </w:rPr>
        <w:t xml:space="preserve">by heading </w:t>
      </w:r>
      <w:r w:rsidRPr="00664921">
        <w:rPr>
          <w:rFonts w:ascii="Times New Roman" w:hAnsi="Times New Roman" w:cs="Times New Roman"/>
          <w:color w:val="000000" w:themeColor="text1"/>
        </w:rPr>
        <w:t xml:space="preserve">to Geneva, published a remonstrance pleading with Henry III to have a bipartisan commission negotiate a peace deal, which ought to include religious toleration as well as mixed courts to adjudicate conflicts </w:t>
      </w:r>
      <w:r w:rsidRPr="00664921">
        <w:rPr>
          <w:rFonts w:ascii="Times New Roman" w:hAnsi="Times New Roman" w:cs="Times New Roman"/>
          <w:color w:val="000000" w:themeColor="text1"/>
        </w:rPr>
        <w:lastRenderedPageBreak/>
        <w:t>between Catholics and Protestants, based on the model of the Reichskammergericht in the Holy Roman Empire (pp. 438–</w:t>
      </w:r>
      <w:r w:rsidR="00CC52CC" w:rsidRPr="00664921">
        <w:rPr>
          <w:rFonts w:ascii="Times New Roman" w:hAnsi="Times New Roman" w:cs="Times New Roman"/>
          <w:color w:val="000000" w:themeColor="text1"/>
        </w:rPr>
        <w:t>4</w:t>
      </w:r>
      <w:r w:rsidRPr="00664921">
        <w:rPr>
          <w:rFonts w:ascii="Times New Roman" w:hAnsi="Times New Roman" w:cs="Times New Roman"/>
          <w:color w:val="000000" w:themeColor="text1"/>
        </w:rPr>
        <w:t xml:space="preserve">41). </w:t>
      </w:r>
    </w:p>
    <w:p w14:paraId="0814F80D"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This language of peace and negotiation is perhaps not wholly surprising, as Mellet shows that many of those authors who wrote remonstrances were trained jurists like Gentillet, serving in one of the </w:t>
      </w:r>
      <w:r w:rsidRPr="00664921">
        <w:rPr>
          <w:rFonts w:ascii="Times New Roman" w:hAnsi="Times New Roman" w:cs="Times New Roman"/>
          <w:i/>
          <w:iCs/>
          <w:color w:val="000000" w:themeColor="text1"/>
        </w:rPr>
        <w:t>parlements</w:t>
      </w:r>
      <w:r w:rsidRPr="00664921">
        <w:rPr>
          <w:rFonts w:ascii="Times New Roman" w:hAnsi="Times New Roman" w:cs="Times New Roman"/>
          <w:color w:val="000000" w:themeColor="text1"/>
        </w:rPr>
        <w:t xml:space="preserve">, the courts of appeal who prided themselves on acting as the guardians of France’s fundamental laws and a bulwark against unbridled royal power. Although never granted a formal right to petition, magistrates in the </w:t>
      </w:r>
      <w:r w:rsidRPr="00664921">
        <w:rPr>
          <w:rFonts w:ascii="Times New Roman" w:hAnsi="Times New Roman" w:cs="Times New Roman"/>
          <w:i/>
          <w:iCs/>
          <w:color w:val="000000" w:themeColor="text1"/>
        </w:rPr>
        <w:t>parlements</w:t>
      </w:r>
      <w:r w:rsidRPr="00664921">
        <w:rPr>
          <w:rFonts w:ascii="Times New Roman" w:hAnsi="Times New Roman" w:cs="Times New Roman"/>
          <w:color w:val="000000" w:themeColor="text1"/>
        </w:rPr>
        <w:t xml:space="preserve"> saw it as their duty to issue remonstrances that voiced their displeasure whenever royal policies threatened to destabilize the kingdom. Within this milieu of legal professionals we encounter plenty of Catholic and Protestant authors, often derided by their adversaries as “politiques,” who viewed religious toleration as a means to end the conflict. The deputies who served on the provincial estates or the Estates-General, representative political bodies that essentially functioned as think-tanks for the monarchy, also did not shy away from remonstrances that urged the king to heal the religious divide. Many of the other complaints voiced by these authors are equally unsurprising: marauding soldiers, tax rises in times of penury, and the breakdown of law and order are not unique to these remonstrances, as Mellet admits, nor to the French Wars of Religion, but they usefully serve to underline his point that most people ardently desired an end to the conflict.</w:t>
      </w:r>
    </w:p>
    <w:p w14:paraId="76BF0606"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The temporal ebb and flow of the remonstrances further supports Mellet’s claim that pleas for peace in fact outweighed those calling for violence. The peak years in his sample are 1560, 1588–89, and 1596, while in 1572</w:t>
      </w:r>
      <w:r w:rsidR="009E48C7"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generally seen as a bloody turning point in the conflict</w:t>
      </w:r>
      <w:r w:rsidR="009E48C7"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only two remonstrances appeared in print. Mellet suggests, therefore, that we should rethink the chronology of the French Wars of Religion, traditionally sandwiched between the 1562 massacre at Vassy and the 1598 Edict of Nantes, as it merely prioritizes major incidents of violence, including battles, sieges, massacres, and iconoclasm. As Philip Benedict has shown, this canonical calendar owes much to the early memory-making of Protestants and Catholics, which solidified the sequence of key events that continues to structure most studies today.[3] Mellet’s call to move beyond these violent events (</w:t>
      </w:r>
      <w:r w:rsidRPr="00664921">
        <w:rPr>
          <w:rFonts w:ascii="Times New Roman" w:hAnsi="Times New Roman" w:cs="Times New Roman"/>
          <w:i/>
          <w:iCs/>
          <w:color w:val="000000" w:themeColor="text1"/>
        </w:rPr>
        <w:t>désévénementaliser</w:t>
      </w:r>
      <w:r w:rsidRPr="00664921">
        <w:rPr>
          <w:rFonts w:ascii="Times New Roman" w:hAnsi="Times New Roman" w:cs="Times New Roman"/>
          <w:color w:val="000000" w:themeColor="text1"/>
        </w:rPr>
        <w:t>, pp. 460–</w:t>
      </w:r>
      <w:r w:rsidR="009E48C7" w:rsidRPr="00664921">
        <w:rPr>
          <w:rFonts w:ascii="Times New Roman" w:hAnsi="Times New Roman" w:cs="Times New Roman"/>
          <w:color w:val="000000" w:themeColor="text1"/>
        </w:rPr>
        <w:t>4</w:t>
      </w:r>
      <w:r w:rsidRPr="00664921">
        <w:rPr>
          <w:rFonts w:ascii="Times New Roman" w:hAnsi="Times New Roman" w:cs="Times New Roman"/>
          <w:color w:val="000000" w:themeColor="text1"/>
        </w:rPr>
        <w:t xml:space="preserve">61) and instead study the undercurrents of peace is perhaps is less original than he suggests, however, nor does it imply a less violent characterisation of the era will emerge. Methodologically, it is a distant echo of those Annales who famously abandoned </w:t>
      </w:r>
      <w:r w:rsidRPr="00664921">
        <w:rPr>
          <w:rFonts w:ascii="Times New Roman" w:hAnsi="Times New Roman" w:cs="Times New Roman"/>
          <w:i/>
          <w:iCs/>
          <w:color w:val="000000" w:themeColor="text1"/>
        </w:rPr>
        <w:t>histoire événementielle</w:t>
      </w:r>
      <w:r w:rsidRPr="00664921">
        <w:rPr>
          <w:rFonts w:ascii="Times New Roman" w:hAnsi="Times New Roman" w:cs="Times New Roman"/>
          <w:color w:val="000000" w:themeColor="text1"/>
        </w:rPr>
        <w:t xml:space="preserve"> in favour of a </w:t>
      </w:r>
      <w:r w:rsidRPr="00664921">
        <w:rPr>
          <w:rFonts w:ascii="Times New Roman" w:hAnsi="Times New Roman" w:cs="Times New Roman"/>
          <w:i/>
          <w:iCs/>
          <w:color w:val="000000" w:themeColor="text1"/>
        </w:rPr>
        <w:t>longue durée</w:t>
      </w:r>
      <w:r w:rsidRPr="00664921">
        <w:rPr>
          <w:rFonts w:ascii="Times New Roman" w:hAnsi="Times New Roman" w:cs="Times New Roman"/>
          <w:color w:val="000000" w:themeColor="text1"/>
        </w:rPr>
        <w:t xml:space="preserve"> analysis capable of revealing deeper historical processes. More recently, Hugues Daussy has also made the case for a more flexible chronology of the wars, beginning with the first heresy trials in the 1550s and proposing 1629 as </w:t>
      </w:r>
      <w:r w:rsidRPr="00664921">
        <w:rPr>
          <w:rFonts w:ascii="Times New Roman" w:hAnsi="Times New Roman" w:cs="Times New Roman"/>
          <w:i/>
          <w:iCs/>
          <w:color w:val="000000" w:themeColor="text1"/>
        </w:rPr>
        <w:t>terminus ad quem</w:t>
      </w:r>
      <w:r w:rsidR="004E5B7B"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yet his long-term assessment is one of enduring conflict rather than peacebuilding.[4]</w:t>
      </w:r>
    </w:p>
    <w:p w14:paraId="3D95FB43"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While I agree that a revision of the traditional chronology of the wars is long overdue, skewed as it is towards political events and the decisions of elite figures, I have my reservations about Mellet’s suggestion to reject the moniker “wars of religion” in favour of the term “civil wars.” Admittedly, contemporaries seldom used our terminology; they simply qualified the conflict as “wars” or “troubles.” The authors of printed remonstrances also frequently deplored the divisions within families, neighbourhoods, and communities in order to underscore the civil drama of the wars. But as Mellet admits, the major theme evoked in many remonstrances was in fact religion, in particular the vexed issue of how to accommodate two confessions in a single polity. There was also a sizeable group of authors, in particular Catholic supporters of the League, who firmly rejected any form of compromise and negotiation, but called on the monarchy to restore religious </w:t>
      </w:r>
      <w:r w:rsidRPr="00664921">
        <w:rPr>
          <w:rFonts w:ascii="Times New Roman" w:hAnsi="Times New Roman" w:cs="Times New Roman"/>
          <w:color w:val="000000" w:themeColor="text1"/>
        </w:rPr>
        <w:lastRenderedPageBreak/>
        <w:t xml:space="preserve">unity by force. Clearly, the call for moderation competed with authors who argued violence was required to cleanse the nation of heresy – a point Mellet admits in the conclusion, where he notes that peace and conflict in fact “cohabited” throughout this period (p. 462). </w:t>
      </w:r>
    </w:p>
    <w:p w14:paraId="311A0B39"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How serious</w:t>
      </w:r>
      <w:r w:rsidR="00F54EC0" w:rsidRPr="00664921">
        <w:rPr>
          <w:rFonts w:ascii="Times New Roman" w:hAnsi="Times New Roman" w:cs="Times New Roman"/>
          <w:color w:val="000000" w:themeColor="text1"/>
        </w:rPr>
        <w:t>ly</w:t>
      </w:r>
      <w:r w:rsidRPr="00664921">
        <w:rPr>
          <w:rFonts w:ascii="Times New Roman" w:hAnsi="Times New Roman" w:cs="Times New Roman"/>
          <w:color w:val="000000" w:themeColor="text1"/>
        </w:rPr>
        <w:t xml:space="preserve">, then, are we to take the remonstrances pleading for peace, or Mellet’s assertion that they contributed to a peaceful dialogue between the monarchy and its subjects? In my view, there are some issues with his claim, which I humbly beg the author to consider (and, as befitting a remonstrance, will hopefully honour with a benevolent response). It should be noted that Mellet’s corpus is based on printed remonstrances, and only those in which the word effectively appears in the title. </w:t>
      </w:r>
      <w:r w:rsidRPr="008103F4">
        <w:rPr>
          <w:rFonts w:ascii="Times New Roman" w:hAnsi="Times New Roman" w:cs="Times New Roman"/>
          <w:color w:val="000000" w:themeColor="text1"/>
        </w:rPr>
        <w:t xml:space="preserve">As a result, just a limited set of remonstrances is considered here, namely those that authors (or publishers) deemed worthwhile </w:t>
      </w:r>
      <w:r w:rsidR="009C084C" w:rsidRPr="008103F4">
        <w:rPr>
          <w:rFonts w:ascii="Times New Roman" w:hAnsi="Times New Roman" w:cs="Times New Roman"/>
          <w:color w:val="000000" w:themeColor="text1"/>
        </w:rPr>
        <w:t>of s</w:t>
      </w:r>
      <w:r w:rsidRPr="008103F4">
        <w:rPr>
          <w:rFonts w:ascii="Times New Roman" w:hAnsi="Times New Roman" w:cs="Times New Roman"/>
          <w:color w:val="000000" w:themeColor="text1"/>
        </w:rPr>
        <w:t>haring with a wider audience.</w:t>
      </w:r>
      <w:r w:rsidRPr="00664921">
        <w:rPr>
          <w:rFonts w:ascii="Times New Roman" w:hAnsi="Times New Roman" w:cs="Times New Roman"/>
          <w:color w:val="000000" w:themeColor="text1"/>
        </w:rPr>
        <w:t xml:space="preserve"> The many oral speeches, written petitions, or other printed texts that were addressed to the authorities with similar aims in mind</w:t>
      </w:r>
      <w:r w:rsidR="009562D7"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to complain about the pressing issues of the day and ask for their resolution</w:t>
      </w:r>
      <w:r w:rsidR="009562D7"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are excluded. I believe it would have enriched Mellet’s analysis had he situated the printed remonstrance within this wider system of early modern petitioning, which has seen an outpouring of scholarship in recent years, especially regarding England, the Low Countries, and Scandinavia, though surprisingly few historians have considered France during the Wars of Religion.[5]</w:t>
      </w:r>
    </w:p>
    <w:p w14:paraId="185705CE"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The focus on printed discourse also left me wondering about the social reality of those who lived through the wars and saw fit to voice their complaints. The many protestations about the failing justice system are a case in point: authors complained about the breakdown of the rule of law, while jurists such as François Hotman deplored that “today, the majority of the French people has no better occupation than to conduct trials, draw up calumnies, and scrape paper” (p. 385). These clichés have often been taken for granted by historians, but the recent work of Daubresse and Hamilton has shown that the courts continued to operate throughout the wars and were able to render justice to litigants. Remonstrances may </w:t>
      </w:r>
      <w:r w:rsidR="00E35875" w:rsidRPr="00664921">
        <w:rPr>
          <w:rFonts w:ascii="Times New Roman" w:hAnsi="Times New Roman" w:cs="Times New Roman"/>
          <w:color w:val="000000" w:themeColor="text1"/>
        </w:rPr>
        <w:t xml:space="preserve">serve as </w:t>
      </w:r>
      <w:r w:rsidRPr="00664921">
        <w:rPr>
          <w:rFonts w:ascii="Times New Roman" w:hAnsi="Times New Roman" w:cs="Times New Roman"/>
          <w:color w:val="000000" w:themeColor="text1"/>
        </w:rPr>
        <w:t xml:space="preserve">a helpful mirror of society, but they can only tell us so much about the lived reality of citizens in times of war. </w:t>
      </w:r>
    </w:p>
    <w:p w14:paraId="0A3A879B"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A more important question I have concerns Mellet’s assessment of the efficacy of remonstrances. He argues they were the constituent elements of what he calls an “open society,” a realm of political and religious discussion that allowed French people from various social strata to communicate with the monarchy and negotiate the tensions that nearly tore French society apart; as such, remonstrances helped to form a political community “from below” (pp. 15–23). To some extent his conclusions are in tune with recent scholarship on petitioning, which posits that petitions acted as an open </w:t>
      </w:r>
      <w:r w:rsidRPr="00664921">
        <w:rPr>
          <w:rFonts w:ascii="Times New Roman" w:hAnsi="Times New Roman" w:cs="Times New Roman"/>
          <w:bCs/>
          <w:color w:val="000000" w:themeColor="text1"/>
        </w:rPr>
        <w:t>channel of communication between early modern rulers and the ruled, offering local communities as well as people without a legitimate role in government a direct means of political participation, collective action, and negotiation with the state.</w:t>
      </w:r>
      <w:r w:rsidRPr="00664921">
        <w:rPr>
          <w:rFonts w:ascii="Times New Roman" w:hAnsi="Times New Roman" w:cs="Times New Roman"/>
          <w:color w:val="000000" w:themeColor="text1"/>
        </w:rPr>
        <w:t xml:space="preserve"> However, some historians have noted that petitions did not necessar</w:t>
      </w:r>
      <w:r w:rsidR="00E35875" w:rsidRPr="00664921">
        <w:rPr>
          <w:rFonts w:ascii="Times New Roman" w:hAnsi="Times New Roman" w:cs="Times New Roman"/>
          <w:color w:val="000000" w:themeColor="text1"/>
        </w:rPr>
        <w:t>ily</w:t>
      </w:r>
      <w:r w:rsidRPr="00664921">
        <w:rPr>
          <w:rFonts w:ascii="Times New Roman" w:hAnsi="Times New Roman" w:cs="Times New Roman"/>
          <w:color w:val="000000" w:themeColor="text1"/>
        </w:rPr>
        <w:t xml:space="preserve"> function as a peaceful and inclusive instrument, but could actually galvanize people into violent political action</w:t>
      </w:r>
      <w:r w:rsidR="00E35875"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 xml:space="preserve">a fact that would become painfully evident in 1789, when the </w:t>
      </w:r>
      <w:r w:rsidRPr="00664921">
        <w:rPr>
          <w:rFonts w:ascii="Times New Roman" w:hAnsi="Times New Roman" w:cs="Times New Roman"/>
          <w:i/>
          <w:iCs/>
          <w:color w:val="000000" w:themeColor="text1"/>
        </w:rPr>
        <w:t>cahiers de</w:t>
      </w:r>
      <w:r w:rsidRPr="00664921">
        <w:rPr>
          <w:rFonts w:ascii="Times New Roman" w:hAnsi="Times New Roman" w:cs="Times New Roman"/>
          <w:color w:val="000000" w:themeColor="text1"/>
        </w:rPr>
        <w:t xml:space="preserve"> </w:t>
      </w:r>
      <w:r w:rsidRPr="00664921">
        <w:rPr>
          <w:rFonts w:ascii="Times New Roman" w:hAnsi="Times New Roman" w:cs="Times New Roman"/>
          <w:i/>
          <w:iCs/>
          <w:color w:val="000000" w:themeColor="text1"/>
        </w:rPr>
        <w:t>doléances</w:t>
      </w:r>
      <w:r w:rsidRPr="00664921">
        <w:rPr>
          <w:rFonts w:ascii="Times New Roman" w:hAnsi="Times New Roman" w:cs="Times New Roman"/>
          <w:color w:val="000000" w:themeColor="text1"/>
        </w:rPr>
        <w:t xml:space="preserve"> set in motion a revolution in politics.[6]</w:t>
      </w:r>
    </w:p>
    <w:p w14:paraId="42C8AB68"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Mellet, however, ignores the potentially disruptive impact of remonstrances, claiming they were “largely effective” (p. 226) in achieving their aims, based on the many reprints and a series of published royal responses in his corpus. While such book historical indicators may be considered as evidence of impact, I am less convinced they also demonstrate the efficacy of remonstrances. </w:t>
      </w:r>
      <w:r w:rsidRPr="00664921">
        <w:rPr>
          <w:rFonts w:ascii="Times New Roman" w:hAnsi="Times New Roman" w:cs="Times New Roman"/>
          <w:color w:val="000000" w:themeColor="text1"/>
        </w:rPr>
        <w:lastRenderedPageBreak/>
        <w:t xml:space="preserve">It would require a larger set of sources and dogged archival research to see how a particular case made its way through the social hierarchy, and to uncover how their demands were received by the authorities. The narrow focus on printed remonstrances again obfuscates the wider ecosystem of communication between the monarchy and its citizens: it was common practice for early modern remonstrances (and most other petitions, including </w:t>
      </w:r>
      <w:r w:rsidRPr="00664921">
        <w:rPr>
          <w:rFonts w:ascii="Times New Roman" w:hAnsi="Times New Roman" w:cs="Times New Roman"/>
          <w:i/>
          <w:iCs/>
          <w:color w:val="000000" w:themeColor="text1"/>
        </w:rPr>
        <w:t>cahiers de doléances</w:t>
      </w:r>
      <w:r w:rsidRPr="00664921">
        <w:rPr>
          <w:rFonts w:ascii="Times New Roman" w:hAnsi="Times New Roman" w:cs="Times New Roman"/>
          <w:color w:val="000000" w:themeColor="text1"/>
        </w:rPr>
        <w:t xml:space="preserve">) to receive an oral response, which was noted in the margin before the document was returned to its supplicants. Both Catholic and Protestant deputies regularly submitted such </w:t>
      </w:r>
      <w:r w:rsidRPr="00664921">
        <w:rPr>
          <w:rFonts w:ascii="Times New Roman" w:hAnsi="Times New Roman" w:cs="Times New Roman"/>
          <w:i/>
          <w:iCs/>
          <w:color w:val="000000" w:themeColor="text1"/>
        </w:rPr>
        <w:t>cahiers</w:t>
      </w:r>
      <w:r w:rsidRPr="00664921">
        <w:rPr>
          <w:rFonts w:ascii="Times New Roman" w:hAnsi="Times New Roman" w:cs="Times New Roman"/>
          <w:color w:val="000000" w:themeColor="text1"/>
        </w:rPr>
        <w:t xml:space="preserve"> to the king’s council, only a fraction of which was ever printed at the time (the Assemblée du Clergé decided in the eighteenth century to retroactively print their resolutions, including remonstrances and petitions to the king); French archives hold a vast amount of petitions dating to the civil wars that still await serious treatment by historians.</w:t>
      </w:r>
    </w:p>
    <w:p w14:paraId="5927A245"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Gentillet’s 1574 remonstrance offers a good example of the importance of considering a wider set of sources when assessing impact. His petition to Henry III included a plea to install bipartisan law courts, which Mellet suggests was effective, given that the 1576 Edict of Beaulieu granted </w:t>
      </w:r>
      <w:r w:rsidRPr="00664921">
        <w:rPr>
          <w:rFonts w:ascii="Times New Roman" w:hAnsi="Times New Roman" w:cs="Times New Roman"/>
          <w:i/>
          <w:iCs/>
          <w:color w:val="000000" w:themeColor="text1"/>
        </w:rPr>
        <w:t>chambres mi-parties</w:t>
      </w:r>
      <w:r w:rsidRPr="00664921">
        <w:rPr>
          <w:rFonts w:ascii="Times New Roman" w:hAnsi="Times New Roman" w:cs="Times New Roman"/>
          <w:color w:val="000000" w:themeColor="text1"/>
        </w:rPr>
        <w:t xml:space="preserve"> comprising equal numbers of Catholic and Protestant judges (pp.</w:t>
      </w:r>
      <w:r w:rsidR="009562D7" w:rsidRPr="00664921">
        <w:rPr>
          <w:rFonts w:ascii="Times New Roman" w:hAnsi="Times New Roman" w:cs="Times New Roman"/>
          <w:color w:val="000000" w:themeColor="text1"/>
        </w:rPr>
        <w:t> </w:t>
      </w:r>
      <w:r w:rsidRPr="00664921">
        <w:rPr>
          <w:rFonts w:ascii="Times New Roman" w:hAnsi="Times New Roman" w:cs="Times New Roman"/>
          <w:color w:val="000000" w:themeColor="text1"/>
        </w:rPr>
        <w:t xml:space="preserve">440–41). In reality, Gentillet’s demands were also voiced in written petitions by the Protestant assembly of Nîmes, as well as </w:t>
      </w:r>
      <w:r w:rsidR="00E35875" w:rsidRPr="00664921">
        <w:rPr>
          <w:rFonts w:ascii="Times New Roman" w:hAnsi="Times New Roman" w:cs="Times New Roman"/>
          <w:color w:val="000000" w:themeColor="text1"/>
        </w:rPr>
        <w:t xml:space="preserve">by </w:t>
      </w:r>
      <w:r w:rsidRPr="00664921">
        <w:rPr>
          <w:rFonts w:ascii="Times New Roman" w:hAnsi="Times New Roman" w:cs="Times New Roman"/>
          <w:color w:val="000000" w:themeColor="text1"/>
        </w:rPr>
        <w:t xml:space="preserve">Reformed churches in cities such as Lyon. They not only argued that the perpetrators of the St Bartholomew’s Day massacre be put on trial and Protestants be granted access to equitable justice; they also instructed the Protestant negotiators to press these demands with the king.[7] </w:t>
      </w:r>
      <w:r w:rsidR="003E1046" w:rsidRPr="00664921">
        <w:rPr>
          <w:rFonts w:ascii="Times New Roman" w:hAnsi="Times New Roman" w:cs="Times New Roman"/>
          <w:color w:val="000000" w:themeColor="text1"/>
        </w:rPr>
        <w:t xml:space="preserve">(The Edict of Beaulieu </w:t>
      </w:r>
      <w:r w:rsidR="00154EA0" w:rsidRPr="00664921">
        <w:rPr>
          <w:rFonts w:ascii="Times New Roman" w:hAnsi="Times New Roman" w:cs="Times New Roman"/>
          <w:color w:val="000000" w:themeColor="text1"/>
        </w:rPr>
        <w:t xml:space="preserve">acknowledged </w:t>
      </w:r>
      <w:r w:rsidR="003E1046" w:rsidRPr="00664921">
        <w:rPr>
          <w:rFonts w:ascii="Times New Roman" w:hAnsi="Times New Roman" w:cs="Times New Roman"/>
          <w:color w:val="000000" w:themeColor="text1"/>
        </w:rPr>
        <w:t xml:space="preserve">these petitions in article 18.) The hoped-for </w:t>
      </w:r>
      <w:r w:rsidR="00154EA0" w:rsidRPr="00664921">
        <w:rPr>
          <w:rFonts w:ascii="Times New Roman" w:hAnsi="Times New Roman" w:cs="Times New Roman"/>
          <w:color w:val="000000" w:themeColor="text1"/>
        </w:rPr>
        <w:t xml:space="preserve">prosecution never materialized, </w:t>
      </w:r>
      <w:r w:rsidR="003E1046" w:rsidRPr="00664921">
        <w:rPr>
          <w:rFonts w:ascii="Times New Roman" w:hAnsi="Times New Roman" w:cs="Times New Roman"/>
          <w:color w:val="000000" w:themeColor="text1"/>
        </w:rPr>
        <w:t xml:space="preserve">however, because </w:t>
      </w:r>
      <w:r w:rsidR="00154EA0" w:rsidRPr="00664921">
        <w:rPr>
          <w:rFonts w:ascii="Times New Roman" w:hAnsi="Times New Roman" w:cs="Times New Roman"/>
          <w:color w:val="000000" w:themeColor="text1"/>
        </w:rPr>
        <w:t xml:space="preserve">the edict proclaimed </w:t>
      </w:r>
      <w:r w:rsidR="003E1046" w:rsidRPr="00664921">
        <w:rPr>
          <w:rFonts w:ascii="Times New Roman" w:hAnsi="Times New Roman" w:cs="Times New Roman"/>
          <w:color w:val="000000" w:themeColor="text1"/>
        </w:rPr>
        <w:t xml:space="preserve">an </w:t>
      </w:r>
      <w:r w:rsidR="00154EA0" w:rsidRPr="00664921">
        <w:rPr>
          <w:rFonts w:ascii="Times New Roman" w:hAnsi="Times New Roman" w:cs="Times New Roman"/>
          <w:color w:val="000000" w:themeColor="text1"/>
        </w:rPr>
        <w:t>amnesty</w:t>
      </w:r>
      <w:r w:rsidR="003E1046" w:rsidRPr="00664921">
        <w:rPr>
          <w:rFonts w:ascii="Times New Roman" w:hAnsi="Times New Roman" w:cs="Times New Roman"/>
          <w:color w:val="000000" w:themeColor="text1"/>
        </w:rPr>
        <w:t xml:space="preserve"> for all wartime offences, while the </w:t>
      </w:r>
      <w:r w:rsidR="00154EA0" w:rsidRPr="00664921">
        <w:rPr>
          <w:rFonts w:ascii="Times New Roman" w:hAnsi="Times New Roman" w:cs="Times New Roman"/>
          <w:i/>
          <w:iCs/>
          <w:color w:val="000000" w:themeColor="text1"/>
        </w:rPr>
        <w:t xml:space="preserve">chambres </w:t>
      </w:r>
      <w:r w:rsidR="003E1046" w:rsidRPr="00664921">
        <w:rPr>
          <w:rFonts w:ascii="Times New Roman" w:hAnsi="Times New Roman" w:cs="Times New Roman"/>
          <w:i/>
          <w:iCs/>
          <w:color w:val="000000" w:themeColor="text1"/>
        </w:rPr>
        <w:t>de l’édit</w:t>
      </w:r>
      <w:r w:rsidR="003E1046" w:rsidRPr="00664921">
        <w:rPr>
          <w:rFonts w:ascii="Times New Roman" w:hAnsi="Times New Roman" w:cs="Times New Roman"/>
          <w:color w:val="000000" w:themeColor="text1"/>
        </w:rPr>
        <w:t xml:space="preserve"> </w:t>
      </w:r>
      <w:r w:rsidR="00154EA0" w:rsidRPr="00664921">
        <w:rPr>
          <w:rFonts w:ascii="Times New Roman" w:hAnsi="Times New Roman" w:cs="Times New Roman"/>
          <w:color w:val="000000" w:themeColor="text1"/>
        </w:rPr>
        <w:t xml:space="preserve">would </w:t>
      </w:r>
      <w:r w:rsidR="003E1046" w:rsidRPr="00664921">
        <w:rPr>
          <w:rFonts w:ascii="Times New Roman" w:hAnsi="Times New Roman" w:cs="Times New Roman"/>
          <w:color w:val="000000" w:themeColor="text1"/>
        </w:rPr>
        <w:t xml:space="preserve">not begin </w:t>
      </w:r>
      <w:r w:rsidR="00C66A0A" w:rsidRPr="00664921">
        <w:rPr>
          <w:rFonts w:ascii="Times New Roman" w:hAnsi="Times New Roman" w:cs="Times New Roman"/>
          <w:color w:val="000000" w:themeColor="text1"/>
        </w:rPr>
        <w:t xml:space="preserve">to </w:t>
      </w:r>
      <w:r w:rsidR="003E1046" w:rsidRPr="00664921">
        <w:rPr>
          <w:rFonts w:ascii="Times New Roman" w:hAnsi="Times New Roman" w:cs="Times New Roman"/>
          <w:color w:val="000000" w:themeColor="text1"/>
        </w:rPr>
        <w:t xml:space="preserve">function until the late 1590s. </w:t>
      </w:r>
      <w:r w:rsidR="00154EA0" w:rsidRPr="00664921">
        <w:rPr>
          <w:rFonts w:ascii="Times New Roman" w:hAnsi="Times New Roman" w:cs="Times New Roman"/>
          <w:color w:val="000000" w:themeColor="text1"/>
        </w:rPr>
        <w:t xml:space="preserve">Calls for peace and justice </w:t>
      </w:r>
      <w:r w:rsidR="00C66A0A" w:rsidRPr="00664921">
        <w:rPr>
          <w:rFonts w:ascii="Times New Roman" w:hAnsi="Times New Roman" w:cs="Times New Roman"/>
          <w:color w:val="000000" w:themeColor="text1"/>
        </w:rPr>
        <w:t xml:space="preserve">thus </w:t>
      </w:r>
      <w:r w:rsidR="003E1046" w:rsidRPr="00664921">
        <w:rPr>
          <w:rFonts w:ascii="Times New Roman" w:hAnsi="Times New Roman" w:cs="Times New Roman"/>
          <w:color w:val="000000" w:themeColor="text1"/>
        </w:rPr>
        <w:t xml:space="preserve">clearly occurred throughout the wars, </w:t>
      </w:r>
      <w:r w:rsidR="00154EA0" w:rsidRPr="00664921">
        <w:rPr>
          <w:rFonts w:ascii="Times New Roman" w:hAnsi="Times New Roman" w:cs="Times New Roman"/>
          <w:color w:val="000000" w:themeColor="text1"/>
        </w:rPr>
        <w:t xml:space="preserve">but </w:t>
      </w:r>
      <w:r w:rsidR="00F30732" w:rsidRPr="00664921">
        <w:rPr>
          <w:rFonts w:ascii="Times New Roman" w:hAnsi="Times New Roman" w:cs="Times New Roman"/>
          <w:color w:val="000000" w:themeColor="text1"/>
        </w:rPr>
        <w:t xml:space="preserve">this example </w:t>
      </w:r>
      <w:r w:rsidR="00C66A0A" w:rsidRPr="00664921">
        <w:rPr>
          <w:rFonts w:ascii="Times New Roman" w:hAnsi="Times New Roman" w:cs="Times New Roman"/>
          <w:color w:val="000000" w:themeColor="text1"/>
        </w:rPr>
        <w:t>demon</w:t>
      </w:r>
      <w:r w:rsidR="00E35875" w:rsidRPr="00664921">
        <w:rPr>
          <w:rFonts w:ascii="Times New Roman" w:hAnsi="Times New Roman" w:cs="Times New Roman"/>
          <w:color w:val="000000" w:themeColor="text1"/>
        </w:rPr>
        <w:t>st</w:t>
      </w:r>
      <w:r w:rsidR="00C66A0A" w:rsidRPr="00664921">
        <w:rPr>
          <w:rFonts w:ascii="Times New Roman" w:hAnsi="Times New Roman" w:cs="Times New Roman"/>
          <w:color w:val="000000" w:themeColor="text1"/>
        </w:rPr>
        <w:t xml:space="preserve">rates </w:t>
      </w:r>
      <w:r w:rsidR="00F30732" w:rsidRPr="00664921">
        <w:rPr>
          <w:rFonts w:ascii="Times New Roman" w:hAnsi="Times New Roman" w:cs="Times New Roman"/>
          <w:color w:val="000000" w:themeColor="text1"/>
        </w:rPr>
        <w:t xml:space="preserve">that </w:t>
      </w:r>
      <w:r w:rsidR="003E1046" w:rsidRPr="00664921">
        <w:rPr>
          <w:rFonts w:ascii="Times New Roman" w:hAnsi="Times New Roman" w:cs="Times New Roman"/>
          <w:color w:val="000000" w:themeColor="text1"/>
        </w:rPr>
        <w:t xml:space="preserve">printed remonstrances such as Gentillet’s did not operate </w:t>
      </w:r>
      <w:r w:rsidR="00154EA0" w:rsidRPr="00664921">
        <w:rPr>
          <w:rFonts w:ascii="Times New Roman" w:hAnsi="Times New Roman" w:cs="Times New Roman"/>
          <w:color w:val="000000" w:themeColor="text1"/>
        </w:rPr>
        <w:t xml:space="preserve">in a vacuum, </w:t>
      </w:r>
      <w:r w:rsidR="003E1046" w:rsidRPr="00664921">
        <w:rPr>
          <w:rFonts w:ascii="Times New Roman" w:hAnsi="Times New Roman" w:cs="Times New Roman"/>
          <w:color w:val="000000" w:themeColor="text1"/>
        </w:rPr>
        <w:t xml:space="preserve">nor </w:t>
      </w:r>
      <w:r w:rsidR="00C66A0A" w:rsidRPr="00664921">
        <w:rPr>
          <w:rFonts w:ascii="Times New Roman" w:hAnsi="Times New Roman" w:cs="Times New Roman"/>
          <w:color w:val="000000" w:themeColor="text1"/>
        </w:rPr>
        <w:t xml:space="preserve">that such </w:t>
      </w:r>
      <w:r w:rsidR="003E1046" w:rsidRPr="00664921">
        <w:rPr>
          <w:rFonts w:ascii="Times New Roman" w:hAnsi="Times New Roman" w:cs="Times New Roman"/>
          <w:color w:val="000000" w:themeColor="text1"/>
        </w:rPr>
        <w:t xml:space="preserve">pleas </w:t>
      </w:r>
      <w:r w:rsidR="00C66A0A" w:rsidRPr="00664921">
        <w:rPr>
          <w:rFonts w:ascii="Times New Roman" w:hAnsi="Times New Roman" w:cs="Times New Roman"/>
          <w:color w:val="000000" w:themeColor="text1"/>
        </w:rPr>
        <w:t>had any immediate impact.</w:t>
      </w:r>
    </w:p>
    <w:p w14:paraId="0651627D" w14:textId="77777777" w:rsidR="00C84FB1" w:rsidRDefault="00C66A0A" w:rsidP="00651F06">
      <w:pPr>
        <w:spacing w:after="480"/>
        <w:rPr>
          <w:rFonts w:ascii="Times New Roman" w:hAnsi="Times New Roman" w:cs="Times New Roman"/>
          <w:color w:val="000000" w:themeColor="text1"/>
        </w:rPr>
      </w:pPr>
      <w:r w:rsidRPr="00664921">
        <w:rPr>
          <w:rFonts w:ascii="Times New Roman" w:hAnsi="Times New Roman" w:cs="Times New Roman"/>
          <w:color w:val="000000" w:themeColor="text1"/>
        </w:rPr>
        <w:t xml:space="preserve">Overall, if </w:t>
      </w:r>
      <w:r w:rsidR="00024536" w:rsidRPr="00664921">
        <w:rPr>
          <w:rFonts w:ascii="Times New Roman" w:hAnsi="Times New Roman" w:cs="Times New Roman"/>
          <w:color w:val="000000" w:themeColor="text1"/>
        </w:rPr>
        <w:t xml:space="preserve">Mellet’s </w:t>
      </w:r>
      <w:r w:rsidR="00E92AE7" w:rsidRPr="00664921">
        <w:rPr>
          <w:rFonts w:ascii="Times New Roman" w:hAnsi="Times New Roman" w:cs="Times New Roman"/>
          <w:color w:val="000000" w:themeColor="text1"/>
        </w:rPr>
        <w:t xml:space="preserve">interesting </w:t>
      </w:r>
      <w:r w:rsidR="00024536" w:rsidRPr="00664921">
        <w:rPr>
          <w:rFonts w:ascii="Times New Roman" w:hAnsi="Times New Roman" w:cs="Times New Roman"/>
          <w:color w:val="000000" w:themeColor="text1"/>
        </w:rPr>
        <w:t>study has made one thing clear</w:t>
      </w:r>
      <w:r w:rsidR="00E92AE7" w:rsidRPr="00664921">
        <w:rPr>
          <w:rFonts w:ascii="Times New Roman" w:hAnsi="Times New Roman" w:cs="Times New Roman"/>
          <w:color w:val="000000" w:themeColor="text1"/>
        </w:rPr>
        <w:t xml:space="preserve"> to me, it is </w:t>
      </w:r>
      <w:r w:rsidR="00024536" w:rsidRPr="00664921">
        <w:rPr>
          <w:rFonts w:ascii="Times New Roman" w:hAnsi="Times New Roman" w:cs="Times New Roman"/>
          <w:color w:val="000000" w:themeColor="text1"/>
        </w:rPr>
        <w:t>that we need a</w:t>
      </w:r>
      <w:r w:rsidR="00E92AE7" w:rsidRPr="00664921">
        <w:rPr>
          <w:rFonts w:ascii="Times New Roman" w:hAnsi="Times New Roman" w:cs="Times New Roman"/>
          <w:color w:val="000000" w:themeColor="text1"/>
        </w:rPr>
        <w:t xml:space="preserve"> sustained </w:t>
      </w:r>
      <w:r w:rsidR="00024536" w:rsidRPr="00664921">
        <w:rPr>
          <w:rFonts w:ascii="Times New Roman" w:hAnsi="Times New Roman" w:cs="Times New Roman"/>
          <w:color w:val="000000" w:themeColor="text1"/>
        </w:rPr>
        <w:t xml:space="preserve">analysis of the practice of petitioning during the Wars of Religion, </w:t>
      </w:r>
      <w:r w:rsidR="00E92AE7" w:rsidRPr="00664921">
        <w:rPr>
          <w:rFonts w:ascii="Times New Roman" w:hAnsi="Times New Roman" w:cs="Times New Roman"/>
          <w:color w:val="000000" w:themeColor="text1"/>
        </w:rPr>
        <w:t>one that considers not only printed remonstrances but a wide range of Catholic and Protestant petitions (broadly construed)</w:t>
      </w:r>
      <w:r w:rsidR="00492C4A" w:rsidRPr="00664921">
        <w:rPr>
          <w:rFonts w:ascii="Times New Roman" w:hAnsi="Times New Roman" w:cs="Times New Roman"/>
          <w:color w:val="000000" w:themeColor="text1"/>
        </w:rPr>
        <w:t>, in order to analyse</w:t>
      </w:r>
      <w:r w:rsidR="00E92AE7" w:rsidRPr="00664921">
        <w:rPr>
          <w:rFonts w:ascii="Times New Roman" w:hAnsi="Times New Roman" w:cs="Times New Roman"/>
          <w:color w:val="000000" w:themeColor="text1"/>
        </w:rPr>
        <w:t xml:space="preserve"> </w:t>
      </w:r>
      <w:r w:rsidR="00492C4A" w:rsidRPr="00664921">
        <w:rPr>
          <w:rFonts w:ascii="Times New Roman" w:hAnsi="Times New Roman" w:cs="Times New Roman"/>
          <w:color w:val="000000" w:themeColor="text1"/>
        </w:rPr>
        <w:t xml:space="preserve">how petitions </w:t>
      </w:r>
      <w:r w:rsidR="00E35875" w:rsidRPr="00664921">
        <w:rPr>
          <w:rFonts w:ascii="Times New Roman" w:hAnsi="Times New Roman" w:cs="Times New Roman"/>
          <w:color w:val="000000" w:themeColor="text1"/>
        </w:rPr>
        <w:t xml:space="preserve">influenced </w:t>
      </w:r>
      <w:r w:rsidR="00E92AE7" w:rsidRPr="00664921">
        <w:rPr>
          <w:rFonts w:ascii="Times New Roman" w:hAnsi="Times New Roman" w:cs="Times New Roman"/>
          <w:color w:val="000000" w:themeColor="text1"/>
        </w:rPr>
        <w:t xml:space="preserve">royal policy, the lived reality of French </w:t>
      </w:r>
      <w:r w:rsidRPr="00664921">
        <w:rPr>
          <w:rFonts w:ascii="Times New Roman" w:hAnsi="Times New Roman" w:cs="Times New Roman"/>
          <w:color w:val="000000" w:themeColor="text1"/>
        </w:rPr>
        <w:t xml:space="preserve">citizens, </w:t>
      </w:r>
      <w:r w:rsidR="00E92AE7" w:rsidRPr="00664921">
        <w:rPr>
          <w:rFonts w:ascii="Times New Roman" w:hAnsi="Times New Roman" w:cs="Times New Roman"/>
          <w:color w:val="000000" w:themeColor="text1"/>
        </w:rPr>
        <w:t xml:space="preserve">and </w:t>
      </w:r>
      <w:r w:rsidR="00024536" w:rsidRPr="00664921">
        <w:rPr>
          <w:rFonts w:ascii="Times New Roman" w:hAnsi="Times New Roman" w:cs="Times New Roman"/>
          <w:color w:val="000000" w:themeColor="text1"/>
        </w:rPr>
        <w:t>the relationship between monarchy and subjects</w:t>
      </w:r>
      <w:r w:rsidR="00E92AE7" w:rsidRPr="00664921">
        <w:rPr>
          <w:rFonts w:ascii="Times New Roman" w:hAnsi="Times New Roman" w:cs="Times New Roman"/>
          <w:color w:val="000000" w:themeColor="text1"/>
        </w:rPr>
        <w:t xml:space="preserve"> at this turbulent time in French history</w:t>
      </w:r>
      <w:r w:rsidR="00024536" w:rsidRPr="00664921">
        <w:rPr>
          <w:rFonts w:ascii="Times New Roman" w:hAnsi="Times New Roman" w:cs="Times New Roman"/>
          <w:color w:val="000000" w:themeColor="text1"/>
        </w:rPr>
        <w:t xml:space="preserve">. </w:t>
      </w:r>
    </w:p>
    <w:p w14:paraId="4A13B3CA" w14:textId="77777777" w:rsidR="00C84FB1" w:rsidRDefault="00C510A9" w:rsidP="00FC07A5">
      <w:pPr>
        <w:pStyle w:val="Heading1"/>
      </w:pPr>
      <w:r w:rsidRPr="00664921">
        <w:t>NOTES</w:t>
      </w:r>
    </w:p>
    <w:p w14:paraId="243CD042"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[1] Natalie Zemon Davis, “The Rites of Violence: Religious Riot in Sixteenth-Century France,” </w:t>
      </w:r>
      <w:r w:rsidRPr="00664921">
        <w:rPr>
          <w:rFonts w:ascii="Times New Roman" w:hAnsi="Times New Roman" w:cs="Times New Roman"/>
          <w:i/>
          <w:iCs/>
          <w:color w:val="000000" w:themeColor="text1"/>
        </w:rPr>
        <w:t>Past &amp; Present</w:t>
      </w:r>
      <w:r w:rsidRPr="00664921">
        <w:rPr>
          <w:rFonts w:ascii="Times New Roman" w:hAnsi="Times New Roman" w:cs="Times New Roman"/>
          <w:color w:val="000000" w:themeColor="text1"/>
        </w:rPr>
        <w:t xml:space="preserve"> 59 (1973): 51–91; Denis Crouzet, </w:t>
      </w:r>
      <w:r w:rsidRPr="00664921">
        <w:rPr>
          <w:rFonts w:ascii="Times New Roman" w:hAnsi="Times New Roman" w:cs="Times New Roman"/>
          <w:i/>
          <w:iCs/>
          <w:color w:val="000000" w:themeColor="text1"/>
        </w:rPr>
        <w:t xml:space="preserve">Les </w:t>
      </w:r>
      <w:r w:rsidR="00813530" w:rsidRPr="00664921">
        <w:rPr>
          <w:rFonts w:ascii="Times New Roman" w:hAnsi="Times New Roman" w:cs="Times New Roman"/>
          <w:i/>
          <w:iCs/>
          <w:color w:val="000000" w:themeColor="text1"/>
        </w:rPr>
        <w:t>G</w:t>
      </w:r>
      <w:r w:rsidRPr="00664921">
        <w:rPr>
          <w:rFonts w:ascii="Times New Roman" w:hAnsi="Times New Roman" w:cs="Times New Roman"/>
          <w:i/>
          <w:iCs/>
          <w:color w:val="000000" w:themeColor="text1"/>
        </w:rPr>
        <w:t>uerriers de Dieu: La violence au temps des guerres de religion, vers 1525–vers 1610</w:t>
      </w:r>
      <w:r w:rsidRPr="00664921">
        <w:rPr>
          <w:rFonts w:ascii="Times New Roman" w:hAnsi="Times New Roman" w:cs="Times New Roman"/>
          <w:color w:val="000000" w:themeColor="text1"/>
        </w:rPr>
        <w:t>, 2 vols</w:t>
      </w:r>
      <w:r w:rsidRPr="00664921">
        <w:rPr>
          <w:rFonts w:ascii="Times New Roman" w:hAnsi="Times New Roman" w:cs="Times New Roman"/>
          <w:i/>
          <w:iCs/>
          <w:color w:val="000000" w:themeColor="text1"/>
        </w:rPr>
        <w:t xml:space="preserve"> </w:t>
      </w:r>
      <w:r w:rsidRPr="00664921">
        <w:rPr>
          <w:rFonts w:ascii="Times New Roman" w:hAnsi="Times New Roman" w:cs="Times New Roman"/>
          <w:color w:val="000000" w:themeColor="text1"/>
        </w:rPr>
        <w:t>(Seyssel: Champ Vallon, 1990)</w:t>
      </w:r>
      <w:r w:rsidR="00813530"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 xml:space="preserve"> Mack P. Holt, “Putting Religion Back into the Wars of Religion,” </w:t>
      </w:r>
      <w:r w:rsidRPr="00664921">
        <w:rPr>
          <w:rFonts w:ascii="Times New Roman" w:hAnsi="Times New Roman" w:cs="Times New Roman"/>
          <w:i/>
          <w:iCs/>
          <w:color w:val="000000" w:themeColor="text1"/>
        </w:rPr>
        <w:t>French Historical Studies</w:t>
      </w:r>
      <w:r w:rsidRPr="00664921">
        <w:rPr>
          <w:rFonts w:ascii="Times New Roman" w:hAnsi="Times New Roman" w:cs="Times New Roman"/>
          <w:color w:val="000000" w:themeColor="text1"/>
        </w:rPr>
        <w:t xml:space="preserve"> 18 (1993): 524–</w:t>
      </w:r>
      <w:r w:rsidR="00C51896" w:rsidRPr="00664921">
        <w:rPr>
          <w:rFonts w:ascii="Times New Roman" w:hAnsi="Times New Roman" w:cs="Times New Roman"/>
          <w:color w:val="000000" w:themeColor="text1"/>
        </w:rPr>
        <w:t>5</w:t>
      </w:r>
      <w:r w:rsidRPr="00664921">
        <w:rPr>
          <w:rFonts w:ascii="Times New Roman" w:hAnsi="Times New Roman" w:cs="Times New Roman"/>
          <w:color w:val="000000" w:themeColor="text1"/>
        </w:rPr>
        <w:t>51.</w:t>
      </w:r>
    </w:p>
    <w:p w14:paraId="57B5CBAC"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[2] </w:t>
      </w:r>
      <w:r w:rsidR="00813530" w:rsidRPr="00664921">
        <w:rPr>
          <w:rFonts w:ascii="Times New Roman" w:hAnsi="Times New Roman" w:cs="Times New Roman"/>
          <w:color w:val="000000" w:themeColor="text1"/>
        </w:rPr>
        <w:t xml:space="preserve">Penny </w:t>
      </w:r>
      <w:r w:rsidRPr="00664921">
        <w:rPr>
          <w:rFonts w:ascii="Times New Roman" w:hAnsi="Times New Roman" w:cs="Times New Roman"/>
          <w:color w:val="000000" w:themeColor="text1"/>
        </w:rPr>
        <w:t xml:space="preserve">Roberts, </w:t>
      </w:r>
      <w:r w:rsidRPr="00664921">
        <w:rPr>
          <w:rFonts w:ascii="Times New Roman" w:hAnsi="Times New Roman" w:cs="Times New Roman"/>
          <w:i/>
          <w:iCs/>
          <w:color w:val="000000" w:themeColor="text1"/>
        </w:rPr>
        <w:t>Peace and Authority During the French Religious Wars, c. 1560–1600</w:t>
      </w:r>
      <w:r w:rsidRPr="00664921">
        <w:rPr>
          <w:rFonts w:ascii="Times New Roman" w:hAnsi="Times New Roman" w:cs="Times New Roman"/>
          <w:color w:val="000000" w:themeColor="text1"/>
        </w:rPr>
        <w:t xml:space="preserve"> (Basingstoke: Palgrave, 2013); Jérémie Foa, </w:t>
      </w:r>
      <w:r w:rsidRPr="00664921">
        <w:rPr>
          <w:rFonts w:ascii="Times New Roman" w:hAnsi="Times New Roman" w:cs="Times New Roman"/>
          <w:i/>
          <w:iCs/>
          <w:color w:val="000000" w:themeColor="text1"/>
        </w:rPr>
        <w:t xml:space="preserve">Le </w:t>
      </w:r>
      <w:r w:rsidR="00813530" w:rsidRPr="00664921">
        <w:rPr>
          <w:rFonts w:ascii="Times New Roman" w:hAnsi="Times New Roman" w:cs="Times New Roman"/>
          <w:i/>
          <w:iCs/>
          <w:color w:val="000000" w:themeColor="text1"/>
        </w:rPr>
        <w:t>T</w:t>
      </w:r>
      <w:r w:rsidRPr="00664921">
        <w:rPr>
          <w:rFonts w:ascii="Times New Roman" w:hAnsi="Times New Roman" w:cs="Times New Roman"/>
          <w:i/>
          <w:iCs/>
          <w:color w:val="000000" w:themeColor="text1"/>
        </w:rPr>
        <w:t xml:space="preserve">ombeau de la paix: Une histoire des édits de pacification (1560–1572) </w:t>
      </w:r>
      <w:r w:rsidRPr="00664921">
        <w:rPr>
          <w:rFonts w:ascii="Times New Roman" w:hAnsi="Times New Roman" w:cs="Times New Roman"/>
          <w:color w:val="000000" w:themeColor="text1"/>
        </w:rPr>
        <w:t xml:space="preserve">(Limoges: PULIM, 2015); Sylvie Daubresse, </w:t>
      </w:r>
      <w:r w:rsidRPr="00664921">
        <w:rPr>
          <w:rFonts w:ascii="Times New Roman" w:hAnsi="Times New Roman" w:cs="Times New Roman"/>
          <w:i/>
          <w:iCs/>
          <w:color w:val="000000" w:themeColor="text1"/>
        </w:rPr>
        <w:t>Le Parlement de Paris, ou, La voix de la raison, 1559-1589</w:t>
      </w:r>
      <w:r w:rsidRPr="00664921">
        <w:rPr>
          <w:rFonts w:ascii="Times New Roman" w:hAnsi="Times New Roman" w:cs="Times New Roman"/>
          <w:color w:val="000000" w:themeColor="text1"/>
        </w:rPr>
        <w:t xml:space="preserve"> (Geneva: Droz, 2005); </w:t>
      </w:r>
      <w:r w:rsidR="009562D7" w:rsidRPr="00664921">
        <w:rPr>
          <w:rFonts w:ascii="Times New Roman" w:hAnsi="Times New Roman" w:cs="Times New Roman"/>
          <w:color w:val="000000" w:themeColor="text1"/>
        </w:rPr>
        <w:t xml:space="preserve">and, </w:t>
      </w:r>
      <w:r w:rsidRPr="00664921">
        <w:rPr>
          <w:rFonts w:ascii="Times New Roman" w:hAnsi="Times New Roman" w:cs="Times New Roman"/>
          <w:color w:val="000000" w:themeColor="text1"/>
        </w:rPr>
        <w:t xml:space="preserve">Tom Hamilton, “The Crisis and </w:t>
      </w:r>
      <w:r w:rsidRPr="00664921">
        <w:rPr>
          <w:rFonts w:ascii="Times New Roman" w:hAnsi="Times New Roman" w:cs="Times New Roman"/>
          <w:color w:val="000000" w:themeColor="text1"/>
        </w:rPr>
        <w:lastRenderedPageBreak/>
        <w:t xml:space="preserve">Recovery of Criminal Justice in Late Sixteenth-Century France,” </w:t>
      </w:r>
      <w:r w:rsidRPr="00664921">
        <w:rPr>
          <w:rFonts w:ascii="Times New Roman" w:hAnsi="Times New Roman" w:cs="Times New Roman"/>
          <w:i/>
          <w:iCs/>
          <w:color w:val="000000" w:themeColor="text1"/>
        </w:rPr>
        <w:t>The</w:t>
      </w:r>
      <w:r w:rsidRPr="00664921">
        <w:rPr>
          <w:rFonts w:ascii="Times New Roman" w:hAnsi="Times New Roman" w:cs="Times New Roman"/>
          <w:color w:val="000000" w:themeColor="text1"/>
        </w:rPr>
        <w:t xml:space="preserve"> </w:t>
      </w:r>
      <w:r w:rsidRPr="00664921">
        <w:rPr>
          <w:rFonts w:ascii="Times New Roman" w:hAnsi="Times New Roman" w:cs="Times New Roman"/>
          <w:i/>
          <w:iCs/>
          <w:color w:val="000000" w:themeColor="text1"/>
        </w:rPr>
        <w:t>Sixteenth Century Journal</w:t>
      </w:r>
      <w:r w:rsidRPr="00664921">
        <w:rPr>
          <w:rFonts w:ascii="Times New Roman" w:hAnsi="Times New Roman" w:cs="Times New Roman"/>
          <w:color w:val="000000" w:themeColor="text1"/>
        </w:rPr>
        <w:t xml:space="preserve"> 55 (2024): 195–219.</w:t>
      </w:r>
    </w:p>
    <w:p w14:paraId="3E00FEE0"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[3] Philip Benedict, “Divided </w:t>
      </w:r>
      <w:r w:rsidR="00351223" w:rsidRPr="00664921">
        <w:rPr>
          <w:rFonts w:ascii="Times New Roman" w:hAnsi="Times New Roman" w:cs="Times New Roman"/>
          <w:color w:val="000000" w:themeColor="text1"/>
        </w:rPr>
        <w:t>M</w:t>
      </w:r>
      <w:r w:rsidRPr="00664921">
        <w:rPr>
          <w:rFonts w:ascii="Times New Roman" w:hAnsi="Times New Roman" w:cs="Times New Roman"/>
          <w:color w:val="000000" w:themeColor="text1"/>
        </w:rPr>
        <w:t xml:space="preserve">emories? Historical </w:t>
      </w:r>
      <w:r w:rsidR="00351223" w:rsidRPr="00664921">
        <w:rPr>
          <w:rFonts w:ascii="Times New Roman" w:hAnsi="Times New Roman" w:cs="Times New Roman"/>
          <w:color w:val="000000" w:themeColor="text1"/>
        </w:rPr>
        <w:t>C</w:t>
      </w:r>
      <w:r w:rsidRPr="00664921">
        <w:rPr>
          <w:rFonts w:ascii="Times New Roman" w:hAnsi="Times New Roman" w:cs="Times New Roman"/>
          <w:color w:val="000000" w:themeColor="text1"/>
        </w:rPr>
        <w:t xml:space="preserve">alendars, </w:t>
      </w:r>
      <w:r w:rsidR="00351223" w:rsidRPr="00664921">
        <w:rPr>
          <w:rFonts w:ascii="Times New Roman" w:hAnsi="Times New Roman" w:cs="Times New Roman"/>
          <w:color w:val="000000" w:themeColor="text1"/>
        </w:rPr>
        <w:t>C</w:t>
      </w:r>
      <w:r w:rsidRPr="00664921">
        <w:rPr>
          <w:rFonts w:ascii="Times New Roman" w:hAnsi="Times New Roman" w:cs="Times New Roman"/>
          <w:color w:val="000000" w:themeColor="text1"/>
        </w:rPr>
        <w:t xml:space="preserve">ommemorative </w:t>
      </w:r>
      <w:r w:rsidR="00351223" w:rsidRPr="00664921">
        <w:rPr>
          <w:rFonts w:ascii="Times New Roman" w:hAnsi="Times New Roman" w:cs="Times New Roman"/>
          <w:color w:val="000000" w:themeColor="text1"/>
        </w:rPr>
        <w:t>P</w:t>
      </w:r>
      <w:r w:rsidRPr="00664921">
        <w:rPr>
          <w:rFonts w:ascii="Times New Roman" w:hAnsi="Times New Roman" w:cs="Times New Roman"/>
          <w:color w:val="000000" w:themeColor="text1"/>
        </w:rPr>
        <w:t xml:space="preserve">rocessions and the </w:t>
      </w:r>
      <w:r w:rsidR="00351223" w:rsidRPr="00664921">
        <w:rPr>
          <w:rFonts w:ascii="Times New Roman" w:hAnsi="Times New Roman" w:cs="Times New Roman"/>
          <w:color w:val="000000" w:themeColor="text1"/>
        </w:rPr>
        <w:t>R</w:t>
      </w:r>
      <w:r w:rsidRPr="00664921">
        <w:rPr>
          <w:rFonts w:ascii="Times New Roman" w:hAnsi="Times New Roman" w:cs="Times New Roman"/>
          <w:color w:val="000000" w:themeColor="text1"/>
        </w:rPr>
        <w:t xml:space="preserve">ecollection of the </w:t>
      </w:r>
      <w:r w:rsidR="00351223" w:rsidRPr="00664921">
        <w:rPr>
          <w:rFonts w:ascii="Times New Roman" w:hAnsi="Times New Roman" w:cs="Times New Roman"/>
          <w:color w:val="000000" w:themeColor="text1"/>
        </w:rPr>
        <w:t>W</w:t>
      </w:r>
      <w:r w:rsidRPr="00664921">
        <w:rPr>
          <w:rFonts w:ascii="Times New Roman" w:hAnsi="Times New Roman" w:cs="Times New Roman"/>
          <w:color w:val="000000" w:themeColor="text1"/>
        </w:rPr>
        <w:t xml:space="preserve">ars of </w:t>
      </w:r>
      <w:r w:rsidR="00351223" w:rsidRPr="00664921">
        <w:rPr>
          <w:rFonts w:ascii="Times New Roman" w:hAnsi="Times New Roman" w:cs="Times New Roman"/>
          <w:color w:val="000000" w:themeColor="text1"/>
        </w:rPr>
        <w:t>R</w:t>
      </w:r>
      <w:r w:rsidRPr="00664921">
        <w:rPr>
          <w:rFonts w:ascii="Times New Roman" w:hAnsi="Times New Roman" w:cs="Times New Roman"/>
          <w:color w:val="000000" w:themeColor="text1"/>
        </w:rPr>
        <w:t xml:space="preserve">eligion during the Ancien Régime,” </w:t>
      </w:r>
      <w:r w:rsidRPr="00664921">
        <w:rPr>
          <w:rFonts w:ascii="Times New Roman" w:hAnsi="Times New Roman" w:cs="Times New Roman"/>
          <w:i/>
          <w:color w:val="000000" w:themeColor="text1"/>
        </w:rPr>
        <w:t>French History</w:t>
      </w:r>
      <w:r w:rsidRPr="00664921">
        <w:rPr>
          <w:rFonts w:ascii="Times New Roman" w:hAnsi="Times New Roman" w:cs="Times New Roman"/>
          <w:color w:val="000000" w:themeColor="text1"/>
        </w:rPr>
        <w:t xml:space="preserve"> 22 (2008): 381–405; </w:t>
      </w:r>
      <w:r w:rsidR="009562D7" w:rsidRPr="00664921">
        <w:rPr>
          <w:rFonts w:ascii="Times New Roman" w:hAnsi="Times New Roman" w:cs="Times New Roman"/>
          <w:color w:val="000000" w:themeColor="text1"/>
        </w:rPr>
        <w:t xml:space="preserve">and, </w:t>
      </w:r>
      <w:r w:rsidRPr="00664921">
        <w:rPr>
          <w:rFonts w:ascii="Times New Roman" w:hAnsi="Times New Roman" w:cs="Times New Roman"/>
          <w:color w:val="000000" w:themeColor="text1"/>
        </w:rPr>
        <w:t xml:space="preserve">Philip Benedict, </w:t>
      </w:r>
      <w:r w:rsidRPr="00664921">
        <w:rPr>
          <w:rFonts w:ascii="Times New Roman" w:hAnsi="Times New Roman" w:cs="Times New Roman"/>
          <w:i/>
          <w:color w:val="000000" w:themeColor="text1"/>
        </w:rPr>
        <w:t>Graphic History: The “Wars, Massacres and Troubles” of Tortorel and Perrissin</w:t>
      </w:r>
      <w:r w:rsidRPr="00664921">
        <w:rPr>
          <w:rFonts w:ascii="Times New Roman" w:hAnsi="Times New Roman" w:cs="Times New Roman"/>
          <w:color w:val="000000" w:themeColor="text1"/>
        </w:rPr>
        <w:t xml:space="preserve"> (Geneva: Droz, 2007).</w:t>
      </w:r>
    </w:p>
    <w:p w14:paraId="4B66598C" w14:textId="77777777" w:rsidR="00C84FB1" w:rsidRDefault="007A7EF9" w:rsidP="00651F06">
      <w:pPr>
        <w:spacing w:after="240"/>
        <w:rPr>
          <w:rFonts w:ascii="Times New Roman" w:hAnsi="Times New Roman" w:cs="Times New Roman"/>
          <w:color w:val="000000" w:themeColor="text1"/>
          <w:lang w:val="nl-NL"/>
        </w:rPr>
      </w:pPr>
      <w:r w:rsidRPr="00664921">
        <w:rPr>
          <w:rFonts w:ascii="Times New Roman" w:hAnsi="Times New Roman" w:cs="Times New Roman"/>
          <w:color w:val="000000" w:themeColor="text1"/>
          <w:lang w:val="fr-FR"/>
        </w:rPr>
        <w:t xml:space="preserve">[4] </w:t>
      </w:r>
      <w:r w:rsidRPr="00664921">
        <w:rPr>
          <w:rFonts w:ascii="Times New Roman" w:hAnsi="Times New Roman" w:cs="Times New Roman"/>
          <w:color w:val="000000" w:themeColor="text1"/>
          <w:lang w:val="nl-NL"/>
        </w:rPr>
        <w:t xml:space="preserve">Hugues Daussy, </w:t>
      </w:r>
      <w:r w:rsidRPr="00664921">
        <w:rPr>
          <w:rFonts w:ascii="Times New Roman" w:hAnsi="Times New Roman" w:cs="Times New Roman"/>
          <w:i/>
          <w:iCs/>
          <w:color w:val="000000" w:themeColor="text1"/>
          <w:lang w:val="nl-NL"/>
        </w:rPr>
        <w:t xml:space="preserve">Un </w:t>
      </w:r>
      <w:r w:rsidR="00351223" w:rsidRPr="00664921">
        <w:rPr>
          <w:rFonts w:ascii="Times New Roman" w:hAnsi="Times New Roman" w:cs="Times New Roman"/>
          <w:i/>
          <w:iCs/>
          <w:color w:val="000000" w:themeColor="text1"/>
          <w:lang w:val="nl-NL"/>
        </w:rPr>
        <w:t>R</w:t>
      </w:r>
      <w:r w:rsidRPr="00664921">
        <w:rPr>
          <w:rFonts w:ascii="Times New Roman" w:hAnsi="Times New Roman" w:cs="Times New Roman"/>
          <w:i/>
          <w:iCs/>
          <w:color w:val="000000" w:themeColor="text1"/>
          <w:lang w:val="nl-NL"/>
        </w:rPr>
        <w:t xml:space="preserve">oyaume en lambeaux: </w:t>
      </w:r>
      <w:r w:rsidR="00634879">
        <w:rPr>
          <w:rFonts w:ascii="Times New Roman" w:hAnsi="Times New Roman" w:cs="Times New Roman"/>
          <w:i/>
          <w:iCs/>
          <w:color w:val="000000" w:themeColor="text1"/>
          <w:lang w:val="nl-NL"/>
        </w:rPr>
        <w:t>U</w:t>
      </w:r>
      <w:r w:rsidRPr="00664921">
        <w:rPr>
          <w:rFonts w:ascii="Times New Roman" w:hAnsi="Times New Roman" w:cs="Times New Roman"/>
          <w:i/>
          <w:iCs/>
          <w:color w:val="000000" w:themeColor="text1"/>
          <w:lang w:val="nl-NL"/>
        </w:rPr>
        <w:t>ne autre histoire des guerres de religion (1555–1598)</w:t>
      </w:r>
      <w:r w:rsidRPr="00664921">
        <w:rPr>
          <w:rFonts w:ascii="Times New Roman" w:hAnsi="Times New Roman" w:cs="Times New Roman"/>
          <w:color w:val="000000" w:themeColor="text1"/>
          <w:lang w:val="nl-NL"/>
        </w:rPr>
        <w:t xml:space="preserve"> (Geneva: Labor et Fides, 2022), </w:t>
      </w:r>
      <w:r w:rsidR="00634879">
        <w:rPr>
          <w:rFonts w:ascii="Times New Roman" w:hAnsi="Times New Roman" w:cs="Times New Roman"/>
          <w:color w:val="000000" w:themeColor="text1"/>
          <w:lang w:val="nl-NL"/>
        </w:rPr>
        <w:t xml:space="preserve">pp. </w:t>
      </w:r>
      <w:r w:rsidRPr="00664921">
        <w:rPr>
          <w:rFonts w:ascii="Times New Roman" w:hAnsi="Times New Roman" w:cs="Times New Roman"/>
          <w:color w:val="000000" w:themeColor="text1"/>
          <w:lang w:val="nl-NL"/>
        </w:rPr>
        <w:t>221–</w:t>
      </w:r>
      <w:r w:rsidR="009562D7" w:rsidRPr="00664921">
        <w:rPr>
          <w:rFonts w:ascii="Times New Roman" w:hAnsi="Times New Roman" w:cs="Times New Roman"/>
          <w:color w:val="000000" w:themeColor="text1"/>
          <w:lang w:val="nl-NL"/>
        </w:rPr>
        <w:t>2</w:t>
      </w:r>
      <w:r w:rsidRPr="00664921">
        <w:rPr>
          <w:rFonts w:ascii="Times New Roman" w:hAnsi="Times New Roman" w:cs="Times New Roman"/>
          <w:color w:val="000000" w:themeColor="text1"/>
          <w:lang w:val="nl-NL"/>
        </w:rPr>
        <w:t xml:space="preserve">40. See also Mack P. Holt, </w:t>
      </w:r>
      <w:r w:rsidRPr="00664921">
        <w:rPr>
          <w:rFonts w:ascii="Times New Roman" w:hAnsi="Times New Roman" w:cs="Times New Roman"/>
          <w:i/>
          <w:iCs/>
          <w:color w:val="000000" w:themeColor="text1"/>
          <w:lang w:val="nl-NL"/>
        </w:rPr>
        <w:t>The French Wars of Religion, 1562–1629</w:t>
      </w:r>
      <w:r w:rsidRPr="00664921">
        <w:rPr>
          <w:rFonts w:ascii="Times New Roman" w:hAnsi="Times New Roman" w:cs="Times New Roman"/>
          <w:color w:val="000000" w:themeColor="text1"/>
          <w:lang w:val="nl-NL"/>
        </w:rPr>
        <w:t xml:space="preserve"> (Cambridge: Cambridge University Press, 2005), </w:t>
      </w:r>
      <w:r w:rsidR="00C51896" w:rsidRPr="00664921">
        <w:rPr>
          <w:rFonts w:ascii="Times New Roman" w:hAnsi="Times New Roman" w:cs="Times New Roman"/>
          <w:color w:val="000000" w:themeColor="text1"/>
          <w:lang w:val="nl-NL"/>
        </w:rPr>
        <w:t xml:space="preserve">pp. </w:t>
      </w:r>
      <w:r w:rsidRPr="00664921">
        <w:rPr>
          <w:rFonts w:ascii="Times New Roman" w:hAnsi="Times New Roman" w:cs="Times New Roman"/>
          <w:color w:val="000000" w:themeColor="text1"/>
          <w:lang w:val="nl-NL"/>
        </w:rPr>
        <w:t>178–</w:t>
      </w:r>
      <w:r w:rsidR="009562D7" w:rsidRPr="00664921">
        <w:rPr>
          <w:rFonts w:ascii="Times New Roman" w:hAnsi="Times New Roman" w:cs="Times New Roman"/>
          <w:color w:val="000000" w:themeColor="text1"/>
          <w:lang w:val="nl-NL"/>
        </w:rPr>
        <w:t>1</w:t>
      </w:r>
      <w:r w:rsidRPr="00664921">
        <w:rPr>
          <w:rFonts w:ascii="Times New Roman" w:hAnsi="Times New Roman" w:cs="Times New Roman"/>
          <w:color w:val="000000" w:themeColor="text1"/>
          <w:lang w:val="nl-NL"/>
        </w:rPr>
        <w:t>94.</w:t>
      </w:r>
    </w:p>
    <w:p w14:paraId="28562E8B" w14:textId="77777777" w:rsidR="00C84FB1" w:rsidRDefault="007A7EF9" w:rsidP="00651F06">
      <w:pPr>
        <w:spacing w:after="240"/>
        <w:rPr>
          <w:rFonts w:ascii="Times New Roman" w:hAnsi="Times New Roman" w:cs="Times New Roman"/>
          <w:color w:val="000000" w:themeColor="text1"/>
          <w:lang w:val="fr-FR"/>
        </w:rPr>
      </w:pPr>
      <w:r w:rsidRPr="00664921">
        <w:rPr>
          <w:rFonts w:ascii="Times New Roman" w:hAnsi="Times New Roman" w:cs="Times New Roman"/>
          <w:color w:val="000000" w:themeColor="text1"/>
          <w:lang w:val="nl-NL"/>
        </w:rPr>
        <w:t xml:space="preserve">[5] </w:t>
      </w:r>
      <w:r w:rsidRPr="00664921">
        <w:rPr>
          <w:rFonts w:ascii="Times New Roman" w:hAnsi="Times New Roman" w:cs="Times New Roman"/>
          <w:color w:val="000000" w:themeColor="text1"/>
        </w:rPr>
        <w:t>Recent overviews include Richard Huzzey et al.</w:t>
      </w:r>
      <w:r w:rsidR="00634879">
        <w:rPr>
          <w:rFonts w:ascii="Times New Roman" w:hAnsi="Times New Roman" w:cs="Times New Roman"/>
          <w:color w:val="000000" w:themeColor="text1"/>
        </w:rPr>
        <w:t xml:space="preserve">, </w:t>
      </w:r>
      <w:r w:rsidRPr="00664921">
        <w:rPr>
          <w:rFonts w:ascii="Times New Roman" w:hAnsi="Times New Roman" w:cs="Times New Roman"/>
          <w:color w:val="000000" w:themeColor="text1"/>
        </w:rPr>
        <w:t>eds</w:t>
      </w:r>
      <w:r w:rsidR="00634879">
        <w:rPr>
          <w:rFonts w:ascii="Times New Roman" w:hAnsi="Times New Roman" w:cs="Times New Roman"/>
          <w:color w:val="000000" w:themeColor="text1"/>
        </w:rPr>
        <w:t>.</w:t>
      </w:r>
      <w:r w:rsidRPr="00664921">
        <w:rPr>
          <w:rFonts w:ascii="Times New Roman" w:hAnsi="Times New Roman" w:cs="Times New Roman"/>
          <w:color w:val="000000" w:themeColor="text1"/>
        </w:rPr>
        <w:t xml:space="preserve">, </w:t>
      </w:r>
      <w:r w:rsidRPr="00664921">
        <w:rPr>
          <w:rFonts w:ascii="Times New Roman" w:hAnsi="Times New Roman" w:cs="Times New Roman"/>
          <w:i/>
          <w:iCs/>
          <w:color w:val="000000" w:themeColor="text1"/>
        </w:rPr>
        <w:t>Petitions and Petitioning in Europe and North America: From the Late Medieval Period to the Present</w:t>
      </w:r>
      <w:r w:rsidRPr="00664921">
        <w:rPr>
          <w:rFonts w:ascii="Times New Roman" w:hAnsi="Times New Roman" w:cs="Times New Roman"/>
          <w:color w:val="000000" w:themeColor="text1"/>
        </w:rPr>
        <w:t xml:space="preserve"> (Oxford: Oxford University Press, 2024); Brodie Waddell and Jason Peacey</w:t>
      </w:r>
      <w:r w:rsidR="00B72717" w:rsidRPr="00664921">
        <w:rPr>
          <w:rFonts w:ascii="Times New Roman" w:hAnsi="Times New Roman" w:cs="Times New Roman"/>
          <w:color w:val="000000" w:themeColor="text1"/>
        </w:rPr>
        <w:t xml:space="preserve">, </w:t>
      </w:r>
      <w:r w:rsidRPr="00664921">
        <w:rPr>
          <w:rFonts w:ascii="Times New Roman" w:hAnsi="Times New Roman" w:cs="Times New Roman"/>
          <w:color w:val="000000" w:themeColor="text1"/>
        </w:rPr>
        <w:t>eds</w:t>
      </w:r>
      <w:r w:rsidR="00B72717" w:rsidRPr="00664921">
        <w:rPr>
          <w:rFonts w:ascii="Times New Roman" w:hAnsi="Times New Roman" w:cs="Times New Roman"/>
          <w:color w:val="000000" w:themeColor="text1"/>
        </w:rPr>
        <w:t>.</w:t>
      </w:r>
      <w:r w:rsidRPr="00664921">
        <w:rPr>
          <w:rFonts w:ascii="Times New Roman" w:hAnsi="Times New Roman" w:cs="Times New Roman"/>
          <w:color w:val="000000" w:themeColor="text1"/>
        </w:rPr>
        <w:t xml:space="preserve">, </w:t>
      </w:r>
      <w:r w:rsidRPr="00664921">
        <w:rPr>
          <w:rFonts w:ascii="Times New Roman" w:hAnsi="Times New Roman" w:cs="Times New Roman"/>
          <w:i/>
          <w:iCs/>
          <w:color w:val="000000" w:themeColor="text1"/>
        </w:rPr>
        <w:t>The Power of Petitioning in Early Modern Britain</w:t>
      </w:r>
      <w:r w:rsidRPr="00664921">
        <w:rPr>
          <w:rFonts w:ascii="Times New Roman" w:hAnsi="Times New Roman" w:cs="Times New Roman"/>
          <w:color w:val="000000" w:themeColor="text1"/>
        </w:rPr>
        <w:t xml:space="preserve"> (London: UCL Press, 2024). </w:t>
      </w:r>
      <w:r w:rsidRPr="00664921">
        <w:rPr>
          <w:rFonts w:ascii="Times New Roman" w:hAnsi="Times New Roman" w:cs="Times New Roman"/>
          <w:color w:val="000000" w:themeColor="text1"/>
          <w:lang w:val="en-US"/>
        </w:rPr>
        <w:t xml:space="preserve">On France, see Penny Roberts, “Huguenot </w:t>
      </w:r>
      <w:r w:rsidR="00351223" w:rsidRPr="00664921">
        <w:rPr>
          <w:rFonts w:ascii="Times New Roman" w:hAnsi="Times New Roman" w:cs="Times New Roman"/>
          <w:color w:val="000000" w:themeColor="text1"/>
          <w:lang w:val="en-US"/>
        </w:rPr>
        <w:t>P</w:t>
      </w:r>
      <w:r w:rsidRPr="00664921">
        <w:rPr>
          <w:rFonts w:ascii="Times New Roman" w:hAnsi="Times New Roman" w:cs="Times New Roman"/>
          <w:color w:val="000000" w:themeColor="text1"/>
          <w:lang w:val="en-US"/>
        </w:rPr>
        <w:t xml:space="preserve">etitioning during the </w:t>
      </w:r>
      <w:r w:rsidR="00351223" w:rsidRPr="00664921">
        <w:rPr>
          <w:rFonts w:ascii="Times New Roman" w:hAnsi="Times New Roman" w:cs="Times New Roman"/>
          <w:color w:val="000000" w:themeColor="text1"/>
          <w:lang w:val="en-US"/>
        </w:rPr>
        <w:t>W</w:t>
      </w:r>
      <w:r w:rsidRPr="00664921">
        <w:rPr>
          <w:rFonts w:ascii="Times New Roman" w:hAnsi="Times New Roman" w:cs="Times New Roman"/>
          <w:color w:val="000000" w:themeColor="text1"/>
          <w:lang w:val="en-US"/>
        </w:rPr>
        <w:t xml:space="preserve">ars of </w:t>
      </w:r>
      <w:r w:rsidR="00351223" w:rsidRPr="00664921">
        <w:rPr>
          <w:rFonts w:ascii="Times New Roman" w:hAnsi="Times New Roman" w:cs="Times New Roman"/>
          <w:color w:val="000000" w:themeColor="text1"/>
          <w:lang w:val="en-US"/>
        </w:rPr>
        <w:t>R</w:t>
      </w:r>
      <w:r w:rsidRPr="00664921">
        <w:rPr>
          <w:rFonts w:ascii="Times New Roman" w:hAnsi="Times New Roman" w:cs="Times New Roman"/>
          <w:color w:val="000000" w:themeColor="text1"/>
          <w:lang w:val="en-US"/>
        </w:rPr>
        <w:t xml:space="preserve">eligion,” in </w:t>
      </w:r>
      <w:r w:rsidRPr="00664921">
        <w:rPr>
          <w:rFonts w:ascii="Times New Roman" w:hAnsi="Times New Roman" w:cs="Times New Roman"/>
          <w:i/>
          <w:iCs/>
          <w:color w:val="000000" w:themeColor="text1"/>
          <w:lang w:val="en-US"/>
        </w:rPr>
        <w:t>Society and Culture in the Huguenot World, 1559–1685</w:t>
      </w:r>
      <w:r w:rsidRPr="00664921">
        <w:rPr>
          <w:rFonts w:ascii="Times New Roman" w:hAnsi="Times New Roman" w:cs="Times New Roman"/>
          <w:color w:val="000000" w:themeColor="text1"/>
          <w:lang w:val="en-US"/>
        </w:rPr>
        <w:t xml:space="preserve"> </w:t>
      </w:r>
      <w:r w:rsidR="00B72717" w:rsidRPr="00664921">
        <w:rPr>
          <w:rFonts w:ascii="Times New Roman" w:hAnsi="Times New Roman" w:cs="Times New Roman"/>
          <w:color w:val="000000" w:themeColor="text1"/>
          <w:lang w:val="en-US"/>
        </w:rPr>
        <w:t xml:space="preserve">, ed. </w:t>
      </w:r>
      <w:r w:rsidR="00B72717" w:rsidRPr="00664921">
        <w:rPr>
          <w:rFonts w:ascii="Times New Roman" w:hAnsi="Times New Roman" w:cs="Times New Roman"/>
          <w:color w:val="000000" w:themeColor="text1"/>
          <w:lang w:val="fr-FR"/>
        </w:rPr>
        <w:t xml:space="preserve">Raymond A. Mentzer and Andrew Spicer </w:t>
      </w:r>
      <w:r w:rsidRPr="00664921">
        <w:rPr>
          <w:rFonts w:ascii="Times New Roman" w:hAnsi="Times New Roman" w:cs="Times New Roman"/>
          <w:color w:val="000000" w:themeColor="text1"/>
          <w:lang w:val="fr-FR"/>
        </w:rPr>
        <w:t xml:space="preserve">(Cambridge: Cambridge University Press, 2002), </w:t>
      </w:r>
      <w:r w:rsidR="00B72717" w:rsidRPr="00664921">
        <w:rPr>
          <w:rFonts w:ascii="Times New Roman" w:hAnsi="Times New Roman" w:cs="Times New Roman"/>
          <w:color w:val="000000" w:themeColor="text1"/>
          <w:lang w:val="fr-FR"/>
        </w:rPr>
        <w:t xml:space="preserve">pp. </w:t>
      </w:r>
      <w:r w:rsidRPr="00664921">
        <w:rPr>
          <w:rFonts w:ascii="Times New Roman" w:hAnsi="Times New Roman" w:cs="Times New Roman"/>
          <w:color w:val="000000" w:themeColor="text1"/>
          <w:lang w:val="fr-FR"/>
        </w:rPr>
        <w:t xml:space="preserve">62–77; </w:t>
      </w:r>
      <w:r w:rsidR="00B72717" w:rsidRPr="00664921">
        <w:rPr>
          <w:rFonts w:ascii="Times New Roman" w:hAnsi="Times New Roman" w:cs="Times New Roman"/>
          <w:color w:val="000000" w:themeColor="text1"/>
          <w:lang w:val="fr-FR"/>
        </w:rPr>
        <w:t xml:space="preserve">and, </w:t>
      </w:r>
      <w:r w:rsidRPr="00664921">
        <w:rPr>
          <w:rFonts w:ascii="Times New Roman" w:hAnsi="Times New Roman" w:cs="Times New Roman"/>
          <w:color w:val="000000" w:themeColor="text1"/>
          <w:lang w:val="fr-FR"/>
        </w:rPr>
        <w:t xml:space="preserve">Hugues Daussy, “‘Requestes et remonstrances’: </w:t>
      </w:r>
      <w:r w:rsidR="00351223" w:rsidRPr="00664921">
        <w:rPr>
          <w:rFonts w:ascii="Times New Roman" w:hAnsi="Times New Roman" w:cs="Times New Roman"/>
          <w:color w:val="000000" w:themeColor="text1"/>
          <w:lang w:val="fr-FR"/>
        </w:rPr>
        <w:t>a</w:t>
      </w:r>
      <w:r w:rsidRPr="00664921">
        <w:rPr>
          <w:rFonts w:ascii="Times New Roman" w:hAnsi="Times New Roman" w:cs="Times New Roman"/>
          <w:color w:val="000000" w:themeColor="text1"/>
          <w:lang w:val="fr-FR"/>
        </w:rPr>
        <w:t>natomie de la plainte politique huguenote dans la seconde moitié du XVI</w:t>
      </w:r>
      <w:r w:rsidRPr="00664921">
        <w:rPr>
          <w:rFonts w:ascii="Times New Roman" w:hAnsi="Times New Roman" w:cs="Times New Roman"/>
          <w:color w:val="000000" w:themeColor="text1"/>
          <w:vertAlign w:val="superscript"/>
          <w:lang w:val="fr-FR"/>
        </w:rPr>
        <w:t>e</w:t>
      </w:r>
      <w:r w:rsidRPr="00664921">
        <w:rPr>
          <w:rFonts w:ascii="Times New Roman" w:hAnsi="Times New Roman" w:cs="Times New Roman"/>
          <w:color w:val="000000" w:themeColor="text1"/>
          <w:lang w:val="fr-FR"/>
        </w:rPr>
        <w:t xml:space="preserve"> siècle”, in </w:t>
      </w:r>
      <w:r w:rsidRPr="00664921">
        <w:rPr>
          <w:rFonts w:ascii="Times New Roman" w:hAnsi="Times New Roman" w:cs="Times New Roman"/>
          <w:i/>
          <w:iCs/>
          <w:color w:val="000000" w:themeColor="text1"/>
          <w:lang w:val="fr-FR"/>
        </w:rPr>
        <w:t xml:space="preserve">Doléances: </w:t>
      </w:r>
      <w:r w:rsidR="00351223" w:rsidRPr="00664921">
        <w:rPr>
          <w:rFonts w:ascii="Times New Roman" w:hAnsi="Times New Roman" w:cs="Times New Roman"/>
          <w:i/>
          <w:iCs/>
          <w:color w:val="000000" w:themeColor="text1"/>
          <w:lang w:val="fr-FR"/>
        </w:rPr>
        <w:t>l</w:t>
      </w:r>
      <w:r w:rsidRPr="00664921">
        <w:rPr>
          <w:rFonts w:ascii="Times New Roman" w:hAnsi="Times New Roman" w:cs="Times New Roman"/>
          <w:i/>
          <w:iCs/>
          <w:color w:val="000000" w:themeColor="text1"/>
          <w:lang w:val="fr-FR"/>
        </w:rPr>
        <w:t>a plainte politique, voie de régulation des rapports gouvernés-gouvernants (XIII</w:t>
      </w:r>
      <w:r w:rsidR="009D3EE6" w:rsidRPr="00664921">
        <w:rPr>
          <w:rFonts w:ascii="Times New Roman" w:hAnsi="Times New Roman" w:cs="Times New Roman"/>
          <w:i/>
          <w:iCs/>
          <w:color w:val="000000" w:themeColor="text1"/>
          <w:lang w:val="fr-FR"/>
        </w:rPr>
        <w:t>e</w:t>
      </w:r>
      <w:r w:rsidRPr="00664921">
        <w:rPr>
          <w:rFonts w:ascii="Times New Roman" w:hAnsi="Times New Roman" w:cs="Times New Roman"/>
          <w:i/>
          <w:iCs/>
          <w:color w:val="000000" w:themeColor="text1"/>
          <w:lang w:val="fr-FR"/>
        </w:rPr>
        <w:t>–XVIII</w:t>
      </w:r>
      <w:r w:rsidR="009D3EE6" w:rsidRPr="00664921">
        <w:rPr>
          <w:rFonts w:ascii="Times New Roman" w:hAnsi="Times New Roman" w:cs="Times New Roman"/>
          <w:i/>
          <w:iCs/>
          <w:color w:val="000000" w:themeColor="text1"/>
          <w:lang w:val="fr-FR"/>
        </w:rPr>
        <w:t>e</w:t>
      </w:r>
      <w:r w:rsidR="00351223" w:rsidRPr="00664921">
        <w:rPr>
          <w:rFonts w:ascii="Times New Roman" w:hAnsi="Times New Roman" w:cs="Times New Roman"/>
          <w:i/>
          <w:iCs/>
          <w:color w:val="000000" w:themeColor="text1"/>
          <w:vertAlign w:val="superscript"/>
          <w:lang w:val="fr-FR"/>
        </w:rPr>
        <w:t xml:space="preserve"> </w:t>
      </w:r>
      <w:r w:rsidRPr="00664921">
        <w:rPr>
          <w:rFonts w:ascii="Times New Roman" w:hAnsi="Times New Roman" w:cs="Times New Roman"/>
          <w:i/>
          <w:iCs/>
          <w:color w:val="000000" w:themeColor="text1"/>
          <w:lang w:val="fr-FR"/>
        </w:rPr>
        <w:t>siècle)</w:t>
      </w:r>
      <w:r w:rsidR="00B72717" w:rsidRPr="00664921">
        <w:rPr>
          <w:rFonts w:ascii="Times New Roman" w:hAnsi="Times New Roman" w:cs="Times New Roman"/>
          <w:color w:val="000000" w:themeColor="text1"/>
          <w:lang w:val="fr-FR"/>
        </w:rPr>
        <w:t>, ed. Michelle Bubenick and François Foronda</w:t>
      </w:r>
      <w:r w:rsidRPr="00664921">
        <w:rPr>
          <w:rFonts w:ascii="Times New Roman" w:hAnsi="Times New Roman" w:cs="Times New Roman"/>
          <w:color w:val="000000" w:themeColor="text1"/>
          <w:lang w:val="fr-FR"/>
        </w:rPr>
        <w:t xml:space="preserve"> (Paris: École des Chartes, 2022), </w:t>
      </w:r>
      <w:r w:rsidR="00C51896" w:rsidRPr="00664921">
        <w:rPr>
          <w:rFonts w:ascii="Times New Roman" w:hAnsi="Times New Roman" w:cs="Times New Roman"/>
          <w:color w:val="000000" w:themeColor="text1"/>
          <w:lang w:val="fr-FR"/>
        </w:rPr>
        <w:t xml:space="preserve">pp. </w:t>
      </w:r>
      <w:r w:rsidRPr="00664921">
        <w:rPr>
          <w:rFonts w:ascii="Times New Roman" w:hAnsi="Times New Roman" w:cs="Times New Roman"/>
          <w:color w:val="000000" w:themeColor="text1"/>
          <w:lang w:val="fr-FR"/>
        </w:rPr>
        <w:t>141</w:t>
      </w:r>
      <w:r w:rsidR="00C51896" w:rsidRPr="00664921">
        <w:rPr>
          <w:rFonts w:ascii="Times New Roman" w:hAnsi="Times New Roman" w:cs="Times New Roman"/>
          <w:color w:val="000000" w:themeColor="text1"/>
          <w:lang w:val="fr-FR"/>
        </w:rPr>
        <w:t>-1</w:t>
      </w:r>
      <w:r w:rsidRPr="00664921">
        <w:rPr>
          <w:rFonts w:ascii="Times New Roman" w:hAnsi="Times New Roman" w:cs="Times New Roman"/>
          <w:color w:val="000000" w:themeColor="text1"/>
          <w:lang w:val="fr-FR"/>
        </w:rPr>
        <w:t>50.</w:t>
      </w:r>
    </w:p>
    <w:p w14:paraId="1082AEAE" w14:textId="77777777" w:rsidR="00C84FB1" w:rsidRDefault="007A7EF9"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 xml:space="preserve">[6] See for instance Martin Almbjär, “The </w:t>
      </w:r>
      <w:r w:rsidR="00351223" w:rsidRPr="00664921">
        <w:rPr>
          <w:rFonts w:ascii="Times New Roman" w:hAnsi="Times New Roman" w:cs="Times New Roman"/>
          <w:color w:val="000000" w:themeColor="text1"/>
        </w:rPr>
        <w:t>P</w:t>
      </w:r>
      <w:r w:rsidRPr="00664921">
        <w:rPr>
          <w:rFonts w:ascii="Times New Roman" w:hAnsi="Times New Roman" w:cs="Times New Roman"/>
          <w:color w:val="000000" w:themeColor="text1"/>
        </w:rPr>
        <w:t xml:space="preserve">roblem with </w:t>
      </w:r>
      <w:r w:rsidR="00351223" w:rsidRPr="00664921">
        <w:rPr>
          <w:rFonts w:ascii="Times New Roman" w:hAnsi="Times New Roman" w:cs="Times New Roman"/>
          <w:color w:val="000000" w:themeColor="text1"/>
        </w:rPr>
        <w:t>E</w:t>
      </w:r>
      <w:r w:rsidRPr="00664921">
        <w:rPr>
          <w:rFonts w:ascii="Times New Roman" w:hAnsi="Times New Roman" w:cs="Times New Roman"/>
          <w:color w:val="000000" w:themeColor="text1"/>
        </w:rPr>
        <w:t>arly-</w:t>
      </w:r>
      <w:r w:rsidR="00351223" w:rsidRPr="00664921">
        <w:rPr>
          <w:rFonts w:ascii="Times New Roman" w:hAnsi="Times New Roman" w:cs="Times New Roman"/>
          <w:color w:val="000000" w:themeColor="text1"/>
        </w:rPr>
        <w:t>M</w:t>
      </w:r>
      <w:r w:rsidRPr="00664921">
        <w:rPr>
          <w:rFonts w:ascii="Times New Roman" w:hAnsi="Times New Roman" w:cs="Times New Roman"/>
          <w:color w:val="000000" w:themeColor="text1"/>
        </w:rPr>
        <w:t xml:space="preserve">odern </w:t>
      </w:r>
      <w:r w:rsidR="00351223" w:rsidRPr="00664921">
        <w:rPr>
          <w:rFonts w:ascii="Times New Roman" w:hAnsi="Times New Roman" w:cs="Times New Roman"/>
          <w:color w:val="000000" w:themeColor="text1"/>
        </w:rPr>
        <w:t>P</w:t>
      </w:r>
      <w:r w:rsidRPr="00664921">
        <w:rPr>
          <w:rFonts w:ascii="Times New Roman" w:hAnsi="Times New Roman" w:cs="Times New Roman"/>
          <w:color w:val="000000" w:themeColor="text1"/>
        </w:rPr>
        <w:t xml:space="preserve">etitions: Safety </w:t>
      </w:r>
      <w:r w:rsidR="00351223" w:rsidRPr="00664921">
        <w:rPr>
          <w:rFonts w:ascii="Times New Roman" w:hAnsi="Times New Roman" w:cs="Times New Roman"/>
          <w:color w:val="000000" w:themeColor="text1"/>
        </w:rPr>
        <w:t>V</w:t>
      </w:r>
      <w:r w:rsidRPr="00664921">
        <w:rPr>
          <w:rFonts w:ascii="Times New Roman" w:hAnsi="Times New Roman" w:cs="Times New Roman"/>
          <w:color w:val="000000" w:themeColor="text1"/>
        </w:rPr>
        <w:t xml:space="preserve">alve or </w:t>
      </w:r>
      <w:r w:rsidR="00351223" w:rsidRPr="00664921">
        <w:rPr>
          <w:rFonts w:ascii="Times New Roman" w:hAnsi="Times New Roman" w:cs="Times New Roman"/>
          <w:color w:val="000000" w:themeColor="text1"/>
        </w:rPr>
        <w:t>P</w:t>
      </w:r>
      <w:r w:rsidRPr="00664921">
        <w:rPr>
          <w:rFonts w:ascii="Times New Roman" w:hAnsi="Times New Roman" w:cs="Times New Roman"/>
          <w:color w:val="000000" w:themeColor="text1"/>
        </w:rPr>
        <w:t xml:space="preserve">owder </w:t>
      </w:r>
      <w:r w:rsidR="00351223" w:rsidRPr="00664921">
        <w:rPr>
          <w:rFonts w:ascii="Times New Roman" w:hAnsi="Times New Roman" w:cs="Times New Roman"/>
          <w:color w:val="000000" w:themeColor="text1"/>
        </w:rPr>
        <w:t>K</w:t>
      </w:r>
      <w:r w:rsidRPr="00664921">
        <w:rPr>
          <w:rFonts w:ascii="Times New Roman" w:hAnsi="Times New Roman" w:cs="Times New Roman"/>
          <w:color w:val="000000" w:themeColor="text1"/>
        </w:rPr>
        <w:t xml:space="preserve">eg?” </w:t>
      </w:r>
      <w:r w:rsidRPr="00664921">
        <w:rPr>
          <w:rFonts w:ascii="Times New Roman" w:hAnsi="Times New Roman" w:cs="Times New Roman"/>
          <w:i/>
          <w:iCs/>
          <w:color w:val="000000" w:themeColor="text1"/>
        </w:rPr>
        <w:t>European Review of History/Revue Européenne d’histoire</w:t>
      </w:r>
      <w:r w:rsidRPr="00664921">
        <w:rPr>
          <w:rFonts w:ascii="Times New Roman" w:hAnsi="Times New Roman" w:cs="Times New Roman"/>
          <w:color w:val="000000" w:themeColor="text1"/>
        </w:rPr>
        <w:t xml:space="preserve"> 26 (2019): 1013–</w:t>
      </w:r>
      <w:r w:rsidR="00AF4A25" w:rsidRPr="00664921">
        <w:rPr>
          <w:rFonts w:ascii="Times New Roman" w:hAnsi="Times New Roman" w:cs="Times New Roman"/>
          <w:color w:val="000000" w:themeColor="text1"/>
        </w:rPr>
        <w:t>10</w:t>
      </w:r>
      <w:r w:rsidRPr="00664921">
        <w:rPr>
          <w:rFonts w:ascii="Times New Roman" w:hAnsi="Times New Roman" w:cs="Times New Roman"/>
          <w:color w:val="000000" w:themeColor="text1"/>
        </w:rPr>
        <w:t>39.</w:t>
      </w:r>
    </w:p>
    <w:p w14:paraId="791F421E" w14:textId="37739CEB" w:rsidR="00C510A9" w:rsidRPr="00664921" w:rsidRDefault="00813530" w:rsidP="00FC07A5">
      <w:pPr>
        <w:spacing w:after="480"/>
        <w:rPr>
          <w:rFonts w:ascii="Times New Roman" w:hAnsi="Times New Roman" w:cs="Times New Roman"/>
          <w:color w:val="000000" w:themeColor="text1"/>
        </w:rPr>
      </w:pPr>
      <w:r w:rsidRPr="00664921">
        <w:rPr>
          <w:rFonts w:ascii="Times New Roman" w:hAnsi="Times New Roman" w:cs="Times New Roman"/>
          <w:color w:val="000000" w:themeColor="text1"/>
        </w:rPr>
        <w:t xml:space="preserve">[7] Mark Greengrass, “In the Shadow of the Saint Bartholomew’s Massacre: Justice for Victims and the Negotiations for Peace, 1572-1575,” </w:t>
      </w:r>
      <w:r w:rsidRPr="00664921">
        <w:rPr>
          <w:rFonts w:ascii="Times New Roman" w:hAnsi="Times New Roman" w:cs="Times New Roman"/>
          <w:i/>
          <w:iCs/>
          <w:color w:val="000000" w:themeColor="text1"/>
        </w:rPr>
        <w:t>French History</w:t>
      </w:r>
      <w:r w:rsidRPr="00664921">
        <w:rPr>
          <w:rFonts w:ascii="Times New Roman" w:hAnsi="Times New Roman" w:cs="Times New Roman"/>
          <w:color w:val="000000" w:themeColor="text1"/>
        </w:rPr>
        <w:t xml:space="preserve"> 36 (2022): 452–</w:t>
      </w:r>
      <w:r w:rsidR="00AF4A25" w:rsidRPr="00664921">
        <w:rPr>
          <w:rFonts w:ascii="Times New Roman" w:hAnsi="Times New Roman" w:cs="Times New Roman"/>
          <w:color w:val="000000" w:themeColor="text1"/>
        </w:rPr>
        <w:t>4</w:t>
      </w:r>
      <w:r w:rsidRPr="00664921">
        <w:rPr>
          <w:rFonts w:ascii="Times New Roman" w:hAnsi="Times New Roman" w:cs="Times New Roman"/>
          <w:color w:val="000000" w:themeColor="text1"/>
        </w:rPr>
        <w:t>66.</w:t>
      </w:r>
    </w:p>
    <w:p w14:paraId="07572B9D" w14:textId="77777777" w:rsidR="00C510A9" w:rsidRPr="00664921" w:rsidRDefault="00C510A9" w:rsidP="00FC07A5">
      <w:pPr>
        <w:rPr>
          <w:rFonts w:ascii="Times New Roman" w:hAnsi="Times New Roman" w:cs="Times New Roman"/>
          <w:color w:val="000000" w:themeColor="text1"/>
        </w:rPr>
      </w:pPr>
      <w:r w:rsidRPr="00664921">
        <w:rPr>
          <w:rFonts w:ascii="Times New Roman" w:hAnsi="Times New Roman" w:cs="Times New Roman"/>
          <w:color w:val="000000" w:themeColor="text1"/>
        </w:rPr>
        <w:t>David van der Linden</w:t>
      </w:r>
    </w:p>
    <w:p w14:paraId="3630D1B8" w14:textId="77777777" w:rsidR="00C510A9" w:rsidRPr="00664921" w:rsidRDefault="00C510A9" w:rsidP="00FC07A5">
      <w:pPr>
        <w:rPr>
          <w:rFonts w:ascii="Times New Roman" w:hAnsi="Times New Roman" w:cs="Times New Roman"/>
          <w:color w:val="000000" w:themeColor="text1"/>
        </w:rPr>
      </w:pPr>
      <w:r w:rsidRPr="00664921">
        <w:rPr>
          <w:rFonts w:ascii="Times New Roman" w:hAnsi="Times New Roman" w:cs="Times New Roman"/>
          <w:color w:val="000000" w:themeColor="text1"/>
        </w:rPr>
        <w:t>University of Groningen</w:t>
      </w:r>
    </w:p>
    <w:p w14:paraId="532BBB68" w14:textId="77777777" w:rsidR="00C84FB1" w:rsidRDefault="00C510A9" w:rsidP="00651F06">
      <w:pPr>
        <w:spacing w:after="480"/>
        <w:rPr>
          <w:rFonts w:ascii="Times New Roman" w:hAnsi="Times New Roman" w:cs="Times New Roman"/>
          <w:color w:val="000000" w:themeColor="text1"/>
        </w:rPr>
      </w:pPr>
      <w:hyperlink r:id="rId7" w:history="1">
        <w:r w:rsidRPr="00664921">
          <w:rPr>
            <w:rStyle w:val="Hyperlink"/>
            <w:rFonts w:ascii="Times New Roman" w:hAnsi="Times New Roman" w:cs="Times New Roman"/>
            <w:color w:val="000000" w:themeColor="text1"/>
          </w:rPr>
          <w:t>d.c.van.der.linden@rug.nl</w:t>
        </w:r>
      </w:hyperlink>
    </w:p>
    <w:p w14:paraId="46B6FE30" w14:textId="77777777" w:rsidR="00C84FB1" w:rsidRDefault="00B14F6A" w:rsidP="00651F06">
      <w:pPr>
        <w:tabs>
          <w:tab w:val="left" w:pos="1195"/>
        </w:tabs>
        <w:spacing w:after="240"/>
        <w:rPr>
          <w:rFonts w:ascii="Times New Roman" w:hAnsi="Times New Roman" w:cs="Times New Roman"/>
          <w:color w:val="000000" w:themeColor="text1"/>
        </w:rPr>
      </w:pPr>
      <w:r w:rsidRPr="00664921">
        <w:rPr>
          <w:rFonts w:ascii="Times New Roman" w:hAnsi="Times New Roman" w:cs="Times New Roman"/>
          <w:color w:val="000000" w:themeColor="text1"/>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664921">
        <w:rPr>
          <w:rFonts w:ascii="Times New Roman" w:hAnsi="Times New Roman" w:cs="Times New Roman"/>
          <w:color w:val="000000" w:themeColor="text1"/>
        </w:rPr>
        <w:noBreakHyphen/>
        <w:t>France.</w:t>
      </w:r>
    </w:p>
    <w:p w14:paraId="45B851C8" w14:textId="4FC153C1" w:rsidR="001E7B61" w:rsidRPr="00664921" w:rsidRDefault="001E7B61" w:rsidP="00651F06">
      <w:pPr>
        <w:rPr>
          <w:rFonts w:ascii="Times New Roman" w:hAnsi="Times New Roman" w:cs="Times New Roman"/>
          <w:i/>
          <w:iCs/>
          <w:color w:val="000000" w:themeColor="text1"/>
        </w:rPr>
      </w:pPr>
      <w:r w:rsidRPr="00664921">
        <w:rPr>
          <w:rFonts w:ascii="Times New Roman" w:hAnsi="Times New Roman" w:cs="Times New Roman"/>
          <w:i/>
          <w:iCs/>
          <w:color w:val="000000" w:themeColor="text1"/>
        </w:rPr>
        <w:t>H-France Forum</w:t>
      </w:r>
    </w:p>
    <w:p w14:paraId="2F28A7C1" w14:textId="453C9E56" w:rsidR="001E7B61" w:rsidRPr="00664921" w:rsidRDefault="001E7B61" w:rsidP="00651F06">
      <w:pPr>
        <w:spacing w:after="240"/>
        <w:rPr>
          <w:rFonts w:ascii="Times New Roman" w:hAnsi="Times New Roman" w:cs="Times New Roman"/>
          <w:color w:val="000000" w:themeColor="text1"/>
        </w:rPr>
      </w:pPr>
      <w:r w:rsidRPr="00664921">
        <w:rPr>
          <w:rFonts w:ascii="Times New Roman" w:hAnsi="Times New Roman" w:cs="Times New Roman"/>
          <w:color w:val="000000" w:themeColor="text1"/>
        </w:rPr>
        <w:t>Volume 20 (2025), Issue 4, #4</w:t>
      </w:r>
    </w:p>
    <w:sectPr w:rsidR="001E7B61" w:rsidRPr="00664921" w:rsidSect="00A925A1">
      <w:headerReference w:type="even" r:id="rId8"/>
      <w:headerReference w:type="default" r:id="rId9"/>
      <w:footerReference w:type="even" r:id="rId10"/>
      <w:foot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F0DBAE" w14:textId="77777777" w:rsidR="00866235" w:rsidRDefault="00866235" w:rsidP="00E9720F">
      <w:r>
        <w:separator/>
      </w:r>
    </w:p>
  </w:endnote>
  <w:endnote w:type="continuationSeparator" w:id="0">
    <w:p w14:paraId="72AF30E5" w14:textId="77777777" w:rsidR="00866235" w:rsidRDefault="00866235" w:rsidP="00E972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11933709"/>
      <w:docPartObj>
        <w:docPartGallery w:val="Page Numbers (Bottom of Page)"/>
        <w:docPartUnique/>
      </w:docPartObj>
    </w:sdtPr>
    <w:sdtContent>
      <w:p w14:paraId="20A7BB41" w14:textId="77777777" w:rsidR="00C84FB1" w:rsidRDefault="00E9720F" w:rsidP="00427B8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8B72EB0" w14:textId="3E2B5D51" w:rsidR="00E9720F" w:rsidRDefault="00E972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C76362" w14:textId="77777777" w:rsidR="00C84FB1" w:rsidRDefault="00C84FB1" w:rsidP="00427B80">
    <w:pPr>
      <w:pStyle w:val="Footer"/>
      <w:framePr w:wrap="none" w:vAnchor="text" w:hAnchor="margin" w:xAlign="center" w:y="1"/>
      <w:rPr>
        <w:rStyle w:val="PageNumber"/>
      </w:rPr>
    </w:pPr>
  </w:p>
  <w:p w14:paraId="0A3B5BA9" w14:textId="77777777" w:rsidR="00E9720F" w:rsidRDefault="00E972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BE4B0E" w14:textId="77777777" w:rsidR="00866235" w:rsidRDefault="00866235" w:rsidP="00E9720F">
      <w:r>
        <w:separator/>
      </w:r>
    </w:p>
  </w:footnote>
  <w:footnote w:type="continuationSeparator" w:id="0">
    <w:p w14:paraId="01C77AF1" w14:textId="77777777" w:rsidR="00866235" w:rsidRDefault="00866235" w:rsidP="00E972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41118568"/>
      <w:docPartObj>
        <w:docPartGallery w:val="Page Numbers (Top of Page)"/>
        <w:docPartUnique/>
      </w:docPartObj>
    </w:sdtPr>
    <w:sdtContent>
      <w:p w14:paraId="56EB5FCD" w14:textId="77777777" w:rsidR="00C84FB1" w:rsidRDefault="00A925A1" w:rsidP="00C9518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E57E41" w14:textId="26B70945" w:rsidR="00A925A1" w:rsidRDefault="00A925A1" w:rsidP="00A925A1">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283026802"/>
      <w:docPartObj>
        <w:docPartGallery w:val="Page Numbers (Top of Page)"/>
        <w:docPartUnique/>
      </w:docPartObj>
    </w:sdtPr>
    <w:sdtContent>
      <w:p w14:paraId="57B46249" w14:textId="77777777" w:rsidR="00C84FB1" w:rsidRDefault="00A925A1" w:rsidP="00C95182">
        <w:pPr>
          <w:pStyle w:val="Header"/>
          <w:framePr w:wrap="none" w:vAnchor="text" w:hAnchor="margin" w:xAlign="right" w:y="1"/>
          <w:rPr>
            <w:rStyle w:val="PageNumber"/>
          </w:rPr>
        </w:pPr>
        <w:r w:rsidRPr="00A925A1">
          <w:rPr>
            <w:rStyle w:val="PageNumber"/>
            <w:rFonts w:ascii="Times New Roman" w:hAnsi="Times New Roman" w:cs="Times New Roman"/>
          </w:rPr>
          <w:fldChar w:fldCharType="begin"/>
        </w:r>
        <w:r w:rsidRPr="00A925A1">
          <w:rPr>
            <w:rStyle w:val="PageNumber"/>
            <w:rFonts w:ascii="Times New Roman" w:hAnsi="Times New Roman" w:cs="Times New Roman"/>
          </w:rPr>
          <w:instrText xml:space="preserve"> PAGE </w:instrText>
        </w:r>
        <w:r w:rsidRPr="00A925A1">
          <w:rPr>
            <w:rStyle w:val="PageNumber"/>
            <w:rFonts w:ascii="Times New Roman" w:hAnsi="Times New Roman" w:cs="Times New Roman"/>
          </w:rPr>
          <w:fldChar w:fldCharType="separate"/>
        </w:r>
        <w:r w:rsidRPr="00A925A1">
          <w:rPr>
            <w:rStyle w:val="PageNumber"/>
            <w:rFonts w:ascii="Times New Roman" w:hAnsi="Times New Roman" w:cs="Times New Roman"/>
            <w:noProof/>
          </w:rPr>
          <w:t>1</w:t>
        </w:r>
        <w:r w:rsidRPr="00A925A1">
          <w:rPr>
            <w:rStyle w:val="PageNumber"/>
            <w:rFonts w:ascii="Times New Roman" w:hAnsi="Times New Roman" w:cs="Times New Roman"/>
          </w:rPr>
          <w:fldChar w:fldCharType="end"/>
        </w:r>
      </w:p>
    </w:sdtContent>
  </w:sdt>
  <w:p w14:paraId="559551A6" w14:textId="1EC71D1B" w:rsidR="00A925A1" w:rsidRDefault="00A925A1" w:rsidP="00A925A1">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93020C"/>
    <w:multiLevelType w:val="multilevel"/>
    <w:tmpl w:val="6088B4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96126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ocumentProtection w:edit="readOnly" w:enforcement="1" w:cryptProviderType="rsaAES" w:cryptAlgorithmClass="hash" w:cryptAlgorithmType="typeAny" w:cryptAlgorithmSid="14" w:cryptSpinCount="100000" w:hash="SIzMTdPvt8w/k4sQ7aw2EjVRgEcVXBQWAylYD2Jr1fimKHFZ5MuQy6bCL+6KJgbLLRnKnlteYNP2ejoE9MBcCw==" w:salt="wbU7XXhIrKAZ49hlLaBg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D5B"/>
    <w:rsid w:val="00002400"/>
    <w:rsid w:val="00002A19"/>
    <w:rsid w:val="00002EDB"/>
    <w:rsid w:val="000032D3"/>
    <w:rsid w:val="00004824"/>
    <w:rsid w:val="000049E6"/>
    <w:rsid w:val="00014010"/>
    <w:rsid w:val="000223CA"/>
    <w:rsid w:val="00024536"/>
    <w:rsid w:val="000272D5"/>
    <w:rsid w:val="00030468"/>
    <w:rsid w:val="000315A5"/>
    <w:rsid w:val="000318D6"/>
    <w:rsid w:val="00032725"/>
    <w:rsid w:val="0003373E"/>
    <w:rsid w:val="00034D05"/>
    <w:rsid w:val="00042614"/>
    <w:rsid w:val="000448CC"/>
    <w:rsid w:val="00046FB0"/>
    <w:rsid w:val="000558C7"/>
    <w:rsid w:val="0005669D"/>
    <w:rsid w:val="00056AD1"/>
    <w:rsid w:val="00056B28"/>
    <w:rsid w:val="00060784"/>
    <w:rsid w:val="00060894"/>
    <w:rsid w:val="00060D4A"/>
    <w:rsid w:val="00061722"/>
    <w:rsid w:val="00061B36"/>
    <w:rsid w:val="00062DC5"/>
    <w:rsid w:val="00063AD5"/>
    <w:rsid w:val="00064ADA"/>
    <w:rsid w:val="0006646D"/>
    <w:rsid w:val="00066E08"/>
    <w:rsid w:val="0007118C"/>
    <w:rsid w:val="000759FA"/>
    <w:rsid w:val="00076074"/>
    <w:rsid w:val="00076529"/>
    <w:rsid w:val="00080857"/>
    <w:rsid w:val="00080D6E"/>
    <w:rsid w:val="0008158F"/>
    <w:rsid w:val="000820AF"/>
    <w:rsid w:val="00084A80"/>
    <w:rsid w:val="00086ACC"/>
    <w:rsid w:val="00087F45"/>
    <w:rsid w:val="0009191C"/>
    <w:rsid w:val="00092EDD"/>
    <w:rsid w:val="00094B23"/>
    <w:rsid w:val="0009705B"/>
    <w:rsid w:val="000A0E64"/>
    <w:rsid w:val="000A2475"/>
    <w:rsid w:val="000A588A"/>
    <w:rsid w:val="000A6B89"/>
    <w:rsid w:val="000A714C"/>
    <w:rsid w:val="000A7B98"/>
    <w:rsid w:val="000B0E59"/>
    <w:rsid w:val="000B3057"/>
    <w:rsid w:val="000B7398"/>
    <w:rsid w:val="000C4562"/>
    <w:rsid w:val="000C5D27"/>
    <w:rsid w:val="000C6016"/>
    <w:rsid w:val="000C6474"/>
    <w:rsid w:val="000C6A86"/>
    <w:rsid w:val="000C7018"/>
    <w:rsid w:val="000D0036"/>
    <w:rsid w:val="000D0474"/>
    <w:rsid w:val="000D4580"/>
    <w:rsid w:val="000D47AC"/>
    <w:rsid w:val="000D61C4"/>
    <w:rsid w:val="000D732D"/>
    <w:rsid w:val="000D7DFF"/>
    <w:rsid w:val="000E0A44"/>
    <w:rsid w:val="000E4DB0"/>
    <w:rsid w:val="000E6455"/>
    <w:rsid w:val="000E7AA5"/>
    <w:rsid w:val="000F1794"/>
    <w:rsid w:val="000F427C"/>
    <w:rsid w:val="000F4DD8"/>
    <w:rsid w:val="000F51E4"/>
    <w:rsid w:val="000F65A0"/>
    <w:rsid w:val="001000F9"/>
    <w:rsid w:val="0010158A"/>
    <w:rsid w:val="00103C07"/>
    <w:rsid w:val="00107FE8"/>
    <w:rsid w:val="00112DA2"/>
    <w:rsid w:val="00123ABA"/>
    <w:rsid w:val="0012467B"/>
    <w:rsid w:val="001272FA"/>
    <w:rsid w:val="00127DFD"/>
    <w:rsid w:val="001316D1"/>
    <w:rsid w:val="0013175D"/>
    <w:rsid w:val="00132199"/>
    <w:rsid w:val="00132AFD"/>
    <w:rsid w:val="00133B1C"/>
    <w:rsid w:val="00135A2C"/>
    <w:rsid w:val="00143610"/>
    <w:rsid w:val="0014387C"/>
    <w:rsid w:val="00143997"/>
    <w:rsid w:val="00147970"/>
    <w:rsid w:val="001502D5"/>
    <w:rsid w:val="00150774"/>
    <w:rsid w:val="0015381C"/>
    <w:rsid w:val="00154B78"/>
    <w:rsid w:val="00154EA0"/>
    <w:rsid w:val="00160822"/>
    <w:rsid w:val="00161189"/>
    <w:rsid w:val="0016468D"/>
    <w:rsid w:val="001656DF"/>
    <w:rsid w:val="00167445"/>
    <w:rsid w:val="001703A6"/>
    <w:rsid w:val="001721E3"/>
    <w:rsid w:val="001726E6"/>
    <w:rsid w:val="001746A8"/>
    <w:rsid w:val="0017568B"/>
    <w:rsid w:val="00176C49"/>
    <w:rsid w:val="00182BA2"/>
    <w:rsid w:val="0018317F"/>
    <w:rsid w:val="00184F3E"/>
    <w:rsid w:val="00191645"/>
    <w:rsid w:val="0019248A"/>
    <w:rsid w:val="001949FF"/>
    <w:rsid w:val="00196EC9"/>
    <w:rsid w:val="0019793D"/>
    <w:rsid w:val="001A0359"/>
    <w:rsid w:val="001A0655"/>
    <w:rsid w:val="001A1F4B"/>
    <w:rsid w:val="001B4815"/>
    <w:rsid w:val="001B49C3"/>
    <w:rsid w:val="001B6075"/>
    <w:rsid w:val="001C06E7"/>
    <w:rsid w:val="001C1226"/>
    <w:rsid w:val="001C1B9C"/>
    <w:rsid w:val="001C4C49"/>
    <w:rsid w:val="001C5FDB"/>
    <w:rsid w:val="001D1C38"/>
    <w:rsid w:val="001D4CD2"/>
    <w:rsid w:val="001D5139"/>
    <w:rsid w:val="001D553F"/>
    <w:rsid w:val="001E43AE"/>
    <w:rsid w:val="001E46A9"/>
    <w:rsid w:val="001E486A"/>
    <w:rsid w:val="001E6783"/>
    <w:rsid w:val="001E7B61"/>
    <w:rsid w:val="001F794F"/>
    <w:rsid w:val="00202D18"/>
    <w:rsid w:val="00204AC4"/>
    <w:rsid w:val="0020527D"/>
    <w:rsid w:val="00205995"/>
    <w:rsid w:val="00206833"/>
    <w:rsid w:val="002076A1"/>
    <w:rsid w:val="00211532"/>
    <w:rsid w:val="002116A8"/>
    <w:rsid w:val="00212909"/>
    <w:rsid w:val="00212CC5"/>
    <w:rsid w:val="0021433E"/>
    <w:rsid w:val="0021518F"/>
    <w:rsid w:val="00242065"/>
    <w:rsid w:val="002442A0"/>
    <w:rsid w:val="00245B88"/>
    <w:rsid w:val="002477CE"/>
    <w:rsid w:val="00250833"/>
    <w:rsid w:val="002511BC"/>
    <w:rsid w:val="00252B1D"/>
    <w:rsid w:val="0025383A"/>
    <w:rsid w:val="002553AC"/>
    <w:rsid w:val="0026071F"/>
    <w:rsid w:val="00262010"/>
    <w:rsid w:val="00262835"/>
    <w:rsid w:val="002641B0"/>
    <w:rsid w:val="002655A6"/>
    <w:rsid w:val="00266090"/>
    <w:rsid w:val="00267746"/>
    <w:rsid w:val="00271BE1"/>
    <w:rsid w:val="00271D3A"/>
    <w:rsid w:val="002761AA"/>
    <w:rsid w:val="00276EDB"/>
    <w:rsid w:val="00277236"/>
    <w:rsid w:val="00277807"/>
    <w:rsid w:val="00280216"/>
    <w:rsid w:val="00280AC1"/>
    <w:rsid w:val="00280E7F"/>
    <w:rsid w:val="002811B8"/>
    <w:rsid w:val="00281CEB"/>
    <w:rsid w:val="002A059F"/>
    <w:rsid w:val="002A0FB9"/>
    <w:rsid w:val="002A2947"/>
    <w:rsid w:val="002A5CC5"/>
    <w:rsid w:val="002A5D87"/>
    <w:rsid w:val="002A6E20"/>
    <w:rsid w:val="002B13A8"/>
    <w:rsid w:val="002B253C"/>
    <w:rsid w:val="002B2DE3"/>
    <w:rsid w:val="002B502C"/>
    <w:rsid w:val="002B7CA3"/>
    <w:rsid w:val="002C1C74"/>
    <w:rsid w:val="002C1D83"/>
    <w:rsid w:val="002C22BF"/>
    <w:rsid w:val="002C2B01"/>
    <w:rsid w:val="002C4896"/>
    <w:rsid w:val="002C4B82"/>
    <w:rsid w:val="002D118C"/>
    <w:rsid w:val="002D1775"/>
    <w:rsid w:val="002D1AB6"/>
    <w:rsid w:val="002D24FF"/>
    <w:rsid w:val="002D3AFD"/>
    <w:rsid w:val="002D61D6"/>
    <w:rsid w:val="002D64B0"/>
    <w:rsid w:val="002D706D"/>
    <w:rsid w:val="002E73D2"/>
    <w:rsid w:val="002F2496"/>
    <w:rsid w:val="002F35FE"/>
    <w:rsid w:val="002F69B0"/>
    <w:rsid w:val="003054F2"/>
    <w:rsid w:val="00305BD8"/>
    <w:rsid w:val="0031206E"/>
    <w:rsid w:val="00316818"/>
    <w:rsid w:val="00317028"/>
    <w:rsid w:val="00322030"/>
    <w:rsid w:val="003223EE"/>
    <w:rsid w:val="00323E4A"/>
    <w:rsid w:val="00323F26"/>
    <w:rsid w:val="003241F5"/>
    <w:rsid w:val="003331D4"/>
    <w:rsid w:val="00336559"/>
    <w:rsid w:val="00346CFC"/>
    <w:rsid w:val="00346E6D"/>
    <w:rsid w:val="00350378"/>
    <w:rsid w:val="00351223"/>
    <w:rsid w:val="00352AEA"/>
    <w:rsid w:val="0035331A"/>
    <w:rsid w:val="00363C67"/>
    <w:rsid w:val="003678F3"/>
    <w:rsid w:val="003703FD"/>
    <w:rsid w:val="00370D4F"/>
    <w:rsid w:val="00370FA4"/>
    <w:rsid w:val="00372238"/>
    <w:rsid w:val="003765A8"/>
    <w:rsid w:val="00376DE7"/>
    <w:rsid w:val="00377ED9"/>
    <w:rsid w:val="00380BFC"/>
    <w:rsid w:val="00382306"/>
    <w:rsid w:val="00383CEA"/>
    <w:rsid w:val="003863E2"/>
    <w:rsid w:val="003900A5"/>
    <w:rsid w:val="003902F0"/>
    <w:rsid w:val="00393F25"/>
    <w:rsid w:val="0039555E"/>
    <w:rsid w:val="00396EBD"/>
    <w:rsid w:val="003A1C02"/>
    <w:rsid w:val="003A319B"/>
    <w:rsid w:val="003A5520"/>
    <w:rsid w:val="003A5738"/>
    <w:rsid w:val="003A595A"/>
    <w:rsid w:val="003B35A4"/>
    <w:rsid w:val="003B5655"/>
    <w:rsid w:val="003B67EA"/>
    <w:rsid w:val="003B6F07"/>
    <w:rsid w:val="003C2E8C"/>
    <w:rsid w:val="003C4D26"/>
    <w:rsid w:val="003C56D1"/>
    <w:rsid w:val="003C57FA"/>
    <w:rsid w:val="003C6C5B"/>
    <w:rsid w:val="003D1AD8"/>
    <w:rsid w:val="003D4F6F"/>
    <w:rsid w:val="003D54C0"/>
    <w:rsid w:val="003D71DD"/>
    <w:rsid w:val="003D7C71"/>
    <w:rsid w:val="003E1046"/>
    <w:rsid w:val="003E2BAE"/>
    <w:rsid w:val="003F0DF3"/>
    <w:rsid w:val="003F0FD4"/>
    <w:rsid w:val="003F1157"/>
    <w:rsid w:val="003F4B64"/>
    <w:rsid w:val="003F6953"/>
    <w:rsid w:val="003F7759"/>
    <w:rsid w:val="00402256"/>
    <w:rsid w:val="00402DAA"/>
    <w:rsid w:val="00404F77"/>
    <w:rsid w:val="004052A5"/>
    <w:rsid w:val="00405861"/>
    <w:rsid w:val="00406533"/>
    <w:rsid w:val="00407E71"/>
    <w:rsid w:val="00407F8B"/>
    <w:rsid w:val="004147F0"/>
    <w:rsid w:val="00424910"/>
    <w:rsid w:val="004251E8"/>
    <w:rsid w:val="0043129A"/>
    <w:rsid w:val="00431C44"/>
    <w:rsid w:val="0043549A"/>
    <w:rsid w:val="0043798A"/>
    <w:rsid w:val="004429D8"/>
    <w:rsid w:val="004439EA"/>
    <w:rsid w:val="00445CE8"/>
    <w:rsid w:val="00446811"/>
    <w:rsid w:val="00446CD4"/>
    <w:rsid w:val="0045222D"/>
    <w:rsid w:val="00455693"/>
    <w:rsid w:val="00455A03"/>
    <w:rsid w:val="00456677"/>
    <w:rsid w:val="00456CEF"/>
    <w:rsid w:val="00456E7F"/>
    <w:rsid w:val="00457789"/>
    <w:rsid w:val="004665E8"/>
    <w:rsid w:val="00466A4B"/>
    <w:rsid w:val="00471FEB"/>
    <w:rsid w:val="00473506"/>
    <w:rsid w:val="00475380"/>
    <w:rsid w:val="00475778"/>
    <w:rsid w:val="00476155"/>
    <w:rsid w:val="0047622C"/>
    <w:rsid w:val="00476DB8"/>
    <w:rsid w:val="0048090A"/>
    <w:rsid w:val="004816B5"/>
    <w:rsid w:val="00481FEE"/>
    <w:rsid w:val="00482097"/>
    <w:rsid w:val="004821AC"/>
    <w:rsid w:val="004838C4"/>
    <w:rsid w:val="00484450"/>
    <w:rsid w:val="00486826"/>
    <w:rsid w:val="004908D6"/>
    <w:rsid w:val="00492C4A"/>
    <w:rsid w:val="00493369"/>
    <w:rsid w:val="004A034F"/>
    <w:rsid w:val="004A1EE8"/>
    <w:rsid w:val="004A2F14"/>
    <w:rsid w:val="004A2FE4"/>
    <w:rsid w:val="004A4617"/>
    <w:rsid w:val="004A7FE4"/>
    <w:rsid w:val="004B08C3"/>
    <w:rsid w:val="004B4B73"/>
    <w:rsid w:val="004B4BD1"/>
    <w:rsid w:val="004B6022"/>
    <w:rsid w:val="004B6522"/>
    <w:rsid w:val="004B7E34"/>
    <w:rsid w:val="004C00B8"/>
    <w:rsid w:val="004C2F24"/>
    <w:rsid w:val="004C5AFF"/>
    <w:rsid w:val="004D15DB"/>
    <w:rsid w:val="004D238E"/>
    <w:rsid w:val="004E3716"/>
    <w:rsid w:val="004E3891"/>
    <w:rsid w:val="004E3AEA"/>
    <w:rsid w:val="004E4509"/>
    <w:rsid w:val="004E5B7B"/>
    <w:rsid w:val="004F6C0A"/>
    <w:rsid w:val="004F72F9"/>
    <w:rsid w:val="005010A4"/>
    <w:rsid w:val="0050244E"/>
    <w:rsid w:val="005046BD"/>
    <w:rsid w:val="00506A76"/>
    <w:rsid w:val="0050751F"/>
    <w:rsid w:val="00511864"/>
    <w:rsid w:val="00512376"/>
    <w:rsid w:val="00526321"/>
    <w:rsid w:val="00526740"/>
    <w:rsid w:val="00530A2E"/>
    <w:rsid w:val="00530F45"/>
    <w:rsid w:val="00532C77"/>
    <w:rsid w:val="00536C5E"/>
    <w:rsid w:val="005377E9"/>
    <w:rsid w:val="00540C61"/>
    <w:rsid w:val="00540EE3"/>
    <w:rsid w:val="0054226C"/>
    <w:rsid w:val="005526E3"/>
    <w:rsid w:val="00554BD4"/>
    <w:rsid w:val="00560149"/>
    <w:rsid w:val="0056093A"/>
    <w:rsid w:val="00560CAD"/>
    <w:rsid w:val="005627ED"/>
    <w:rsid w:val="00563AF4"/>
    <w:rsid w:val="00566285"/>
    <w:rsid w:val="00566724"/>
    <w:rsid w:val="00567A05"/>
    <w:rsid w:val="00567C7B"/>
    <w:rsid w:val="00570B95"/>
    <w:rsid w:val="00571A4A"/>
    <w:rsid w:val="00574688"/>
    <w:rsid w:val="00574B62"/>
    <w:rsid w:val="005758A9"/>
    <w:rsid w:val="005770F2"/>
    <w:rsid w:val="005773FC"/>
    <w:rsid w:val="005866E6"/>
    <w:rsid w:val="00586A7C"/>
    <w:rsid w:val="00586F86"/>
    <w:rsid w:val="0058760A"/>
    <w:rsid w:val="005903D3"/>
    <w:rsid w:val="0059071B"/>
    <w:rsid w:val="0059355B"/>
    <w:rsid w:val="005948E9"/>
    <w:rsid w:val="0059634D"/>
    <w:rsid w:val="00597236"/>
    <w:rsid w:val="005A1716"/>
    <w:rsid w:val="005A21AA"/>
    <w:rsid w:val="005A2C33"/>
    <w:rsid w:val="005A320A"/>
    <w:rsid w:val="005A783B"/>
    <w:rsid w:val="005B0145"/>
    <w:rsid w:val="005B0E81"/>
    <w:rsid w:val="005B24D6"/>
    <w:rsid w:val="005B4FFC"/>
    <w:rsid w:val="005B6B43"/>
    <w:rsid w:val="005B75F6"/>
    <w:rsid w:val="005B7A5B"/>
    <w:rsid w:val="005C0F07"/>
    <w:rsid w:val="005C580B"/>
    <w:rsid w:val="005C6839"/>
    <w:rsid w:val="005D2015"/>
    <w:rsid w:val="005D29E6"/>
    <w:rsid w:val="005D5398"/>
    <w:rsid w:val="005D65CA"/>
    <w:rsid w:val="005D6CF6"/>
    <w:rsid w:val="005D773F"/>
    <w:rsid w:val="005E4140"/>
    <w:rsid w:val="005E42D7"/>
    <w:rsid w:val="005E4D65"/>
    <w:rsid w:val="005E51B8"/>
    <w:rsid w:val="005E706D"/>
    <w:rsid w:val="005E70E3"/>
    <w:rsid w:val="005E7E70"/>
    <w:rsid w:val="005F104F"/>
    <w:rsid w:val="005F34B1"/>
    <w:rsid w:val="005F39C8"/>
    <w:rsid w:val="005F5F4E"/>
    <w:rsid w:val="005F6137"/>
    <w:rsid w:val="006014F3"/>
    <w:rsid w:val="0060203F"/>
    <w:rsid w:val="00602D5B"/>
    <w:rsid w:val="00604339"/>
    <w:rsid w:val="00606A24"/>
    <w:rsid w:val="00611D2E"/>
    <w:rsid w:val="00613CEE"/>
    <w:rsid w:val="00614C7C"/>
    <w:rsid w:val="006159D0"/>
    <w:rsid w:val="00616C06"/>
    <w:rsid w:val="00620FAE"/>
    <w:rsid w:val="006227A3"/>
    <w:rsid w:val="006227AA"/>
    <w:rsid w:val="006243F6"/>
    <w:rsid w:val="00626381"/>
    <w:rsid w:val="00631122"/>
    <w:rsid w:val="0063475B"/>
    <w:rsid w:val="00634879"/>
    <w:rsid w:val="00634C7D"/>
    <w:rsid w:val="00636DC0"/>
    <w:rsid w:val="006373B2"/>
    <w:rsid w:val="00644EC6"/>
    <w:rsid w:val="00645182"/>
    <w:rsid w:val="00651F06"/>
    <w:rsid w:val="0065328B"/>
    <w:rsid w:val="006539AE"/>
    <w:rsid w:val="006578B3"/>
    <w:rsid w:val="00661BFD"/>
    <w:rsid w:val="00664921"/>
    <w:rsid w:val="006656D5"/>
    <w:rsid w:val="006734E4"/>
    <w:rsid w:val="00673F10"/>
    <w:rsid w:val="006769E2"/>
    <w:rsid w:val="00680375"/>
    <w:rsid w:val="00681B4F"/>
    <w:rsid w:val="006829EA"/>
    <w:rsid w:val="00682FEF"/>
    <w:rsid w:val="00683277"/>
    <w:rsid w:val="00684D91"/>
    <w:rsid w:val="00690D4F"/>
    <w:rsid w:val="006913FA"/>
    <w:rsid w:val="006918AA"/>
    <w:rsid w:val="00693246"/>
    <w:rsid w:val="00693E21"/>
    <w:rsid w:val="0069762F"/>
    <w:rsid w:val="006A284F"/>
    <w:rsid w:val="006A2FCC"/>
    <w:rsid w:val="006A3BA0"/>
    <w:rsid w:val="006A53C3"/>
    <w:rsid w:val="006A7FB8"/>
    <w:rsid w:val="006B32F0"/>
    <w:rsid w:val="006B5E12"/>
    <w:rsid w:val="006C0A6F"/>
    <w:rsid w:val="006C0EAC"/>
    <w:rsid w:val="006C435F"/>
    <w:rsid w:val="006D69D7"/>
    <w:rsid w:val="006D6CFA"/>
    <w:rsid w:val="006D7B65"/>
    <w:rsid w:val="006E27D9"/>
    <w:rsid w:val="006E33D0"/>
    <w:rsid w:val="006E36EB"/>
    <w:rsid w:val="006E5001"/>
    <w:rsid w:val="006E6197"/>
    <w:rsid w:val="006E6F22"/>
    <w:rsid w:val="006F04C9"/>
    <w:rsid w:val="006F0AF9"/>
    <w:rsid w:val="006F3C05"/>
    <w:rsid w:val="006F3F5E"/>
    <w:rsid w:val="006F4E1C"/>
    <w:rsid w:val="006F55E2"/>
    <w:rsid w:val="00702079"/>
    <w:rsid w:val="00705CC2"/>
    <w:rsid w:val="00710B08"/>
    <w:rsid w:val="007143E0"/>
    <w:rsid w:val="0072122D"/>
    <w:rsid w:val="0072189C"/>
    <w:rsid w:val="00724A59"/>
    <w:rsid w:val="00725425"/>
    <w:rsid w:val="00725FE7"/>
    <w:rsid w:val="007270F7"/>
    <w:rsid w:val="0073336B"/>
    <w:rsid w:val="00735C21"/>
    <w:rsid w:val="00735C60"/>
    <w:rsid w:val="00742A37"/>
    <w:rsid w:val="007460CF"/>
    <w:rsid w:val="00746CE2"/>
    <w:rsid w:val="00751659"/>
    <w:rsid w:val="00755570"/>
    <w:rsid w:val="00756370"/>
    <w:rsid w:val="00761573"/>
    <w:rsid w:val="00762885"/>
    <w:rsid w:val="007629CC"/>
    <w:rsid w:val="007633B0"/>
    <w:rsid w:val="00770B82"/>
    <w:rsid w:val="007738C4"/>
    <w:rsid w:val="00773AAC"/>
    <w:rsid w:val="0077555D"/>
    <w:rsid w:val="00782E8C"/>
    <w:rsid w:val="0078318B"/>
    <w:rsid w:val="00784FCD"/>
    <w:rsid w:val="007852B4"/>
    <w:rsid w:val="00786C2C"/>
    <w:rsid w:val="0078793C"/>
    <w:rsid w:val="00793749"/>
    <w:rsid w:val="00794895"/>
    <w:rsid w:val="00794F91"/>
    <w:rsid w:val="00796313"/>
    <w:rsid w:val="0079645A"/>
    <w:rsid w:val="00797AAB"/>
    <w:rsid w:val="007A29D4"/>
    <w:rsid w:val="007A7789"/>
    <w:rsid w:val="007A7EF9"/>
    <w:rsid w:val="007B03AC"/>
    <w:rsid w:val="007B41A2"/>
    <w:rsid w:val="007B45BF"/>
    <w:rsid w:val="007B4E6D"/>
    <w:rsid w:val="007B7070"/>
    <w:rsid w:val="007C3069"/>
    <w:rsid w:val="007D13F4"/>
    <w:rsid w:val="007D4D8D"/>
    <w:rsid w:val="007D4EB1"/>
    <w:rsid w:val="007D53B6"/>
    <w:rsid w:val="007D57C5"/>
    <w:rsid w:val="007D59C0"/>
    <w:rsid w:val="007D6904"/>
    <w:rsid w:val="007D6957"/>
    <w:rsid w:val="007E0A8F"/>
    <w:rsid w:val="007E13D7"/>
    <w:rsid w:val="007E2AD8"/>
    <w:rsid w:val="007E47E3"/>
    <w:rsid w:val="007E5548"/>
    <w:rsid w:val="007E611F"/>
    <w:rsid w:val="007F1247"/>
    <w:rsid w:val="007F2C25"/>
    <w:rsid w:val="007F3D8F"/>
    <w:rsid w:val="007F4F44"/>
    <w:rsid w:val="007F5B1D"/>
    <w:rsid w:val="007F7857"/>
    <w:rsid w:val="008001DC"/>
    <w:rsid w:val="008018C9"/>
    <w:rsid w:val="008020DA"/>
    <w:rsid w:val="0080215C"/>
    <w:rsid w:val="00805648"/>
    <w:rsid w:val="00810136"/>
    <w:rsid w:val="008103F4"/>
    <w:rsid w:val="00813530"/>
    <w:rsid w:val="00813C2B"/>
    <w:rsid w:val="00813F37"/>
    <w:rsid w:val="00814C51"/>
    <w:rsid w:val="008175EC"/>
    <w:rsid w:val="00823AED"/>
    <w:rsid w:val="008251AE"/>
    <w:rsid w:val="00833358"/>
    <w:rsid w:val="00840024"/>
    <w:rsid w:val="00841BBA"/>
    <w:rsid w:val="00846390"/>
    <w:rsid w:val="00853C73"/>
    <w:rsid w:val="008570CB"/>
    <w:rsid w:val="008617D3"/>
    <w:rsid w:val="00862F48"/>
    <w:rsid w:val="00864107"/>
    <w:rsid w:val="00864589"/>
    <w:rsid w:val="008645F2"/>
    <w:rsid w:val="00864933"/>
    <w:rsid w:val="00865A98"/>
    <w:rsid w:val="00866235"/>
    <w:rsid w:val="008732EE"/>
    <w:rsid w:val="00874CB1"/>
    <w:rsid w:val="0087571C"/>
    <w:rsid w:val="00877869"/>
    <w:rsid w:val="008818F2"/>
    <w:rsid w:val="00884A31"/>
    <w:rsid w:val="008941E7"/>
    <w:rsid w:val="00895F6B"/>
    <w:rsid w:val="00897149"/>
    <w:rsid w:val="008A062E"/>
    <w:rsid w:val="008A18A3"/>
    <w:rsid w:val="008A2B97"/>
    <w:rsid w:val="008A3157"/>
    <w:rsid w:val="008A6F93"/>
    <w:rsid w:val="008A73B9"/>
    <w:rsid w:val="008B22AF"/>
    <w:rsid w:val="008B4AA9"/>
    <w:rsid w:val="008B7C9B"/>
    <w:rsid w:val="008C2961"/>
    <w:rsid w:val="008C3D40"/>
    <w:rsid w:val="008C54F8"/>
    <w:rsid w:val="008D0869"/>
    <w:rsid w:val="008D171A"/>
    <w:rsid w:val="008D46A5"/>
    <w:rsid w:val="008E1EC1"/>
    <w:rsid w:val="008E5FFE"/>
    <w:rsid w:val="008E68E7"/>
    <w:rsid w:val="008E6A2C"/>
    <w:rsid w:val="008E7C88"/>
    <w:rsid w:val="008F098D"/>
    <w:rsid w:val="008F1290"/>
    <w:rsid w:val="008F1557"/>
    <w:rsid w:val="008F28A5"/>
    <w:rsid w:val="008F32D8"/>
    <w:rsid w:val="008F39A1"/>
    <w:rsid w:val="008F4666"/>
    <w:rsid w:val="008F7E68"/>
    <w:rsid w:val="00900B9C"/>
    <w:rsid w:val="00900EAC"/>
    <w:rsid w:val="00900FFC"/>
    <w:rsid w:val="009037E2"/>
    <w:rsid w:val="00907B0B"/>
    <w:rsid w:val="00920BCA"/>
    <w:rsid w:val="009246AA"/>
    <w:rsid w:val="0092727E"/>
    <w:rsid w:val="009312A3"/>
    <w:rsid w:val="009420C8"/>
    <w:rsid w:val="009436D1"/>
    <w:rsid w:val="009472B8"/>
    <w:rsid w:val="00947311"/>
    <w:rsid w:val="009475AD"/>
    <w:rsid w:val="009524E8"/>
    <w:rsid w:val="009562D7"/>
    <w:rsid w:val="00956AC5"/>
    <w:rsid w:val="0096776D"/>
    <w:rsid w:val="0096789B"/>
    <w:rsid w:val="00967E0E"/>
    <w:rsid w:val="00972278"/>
    <w:rsid w:val="00975CF6"/>
    <w:rsid w:val="00984798"/>
    <w:rsid w:val="00985674"/>
    <w:rsid w:val="0099033D"/>
    <w:rsid w:val="00991D68"/>
    <w:rsid w:val="00997270"/>
    <w:rsid w:val="009A092A"/>
    <w:rsid w:val="009A3A07"/>
    <w:rsid w:val="009A4385"/>
    <w:rsid w:val="009B17B7"/>
    <w:rsid w:val="009B58D5"/>
    <w:rsid w:val="009C0069"/>
    <w:rsid w:val="009C0778"/>
    <w:rsid w:val="009C084C"/>
    <w:rsid w:val="009C207D"/>
    <w:rsid w:val="009D3E0B"/>
    <w:rsid w:val="009D3EE6"/>
    <w:rsid w:val="009E48C7"/>
    <w:rsid w:val="009E4DF8"/>
    <w:rsid w:val="009F05FA"/>
    <w:rsid w:val="009F467D"/>
    <w:rsid w:val="009F4EF6"/>
    <w:rsid w:val="009F512C"/>
    <w:rsid w:val="009F556E"/>
    <w:rsid w:val="009F687F"/>
    <w:rsid w:val="009F6E15"/>
    <w:rsid w:val="009F7577"/>
    <w:rsid w:val="00A033B5"/>
    <w:rsid w:val="00A059A8"/>
    <w:rsid w:val="00A0754E"/>
    <w:rsid w:val="00A106AB"/>
    <w:rsid w:val="00A10B1A"/>
    <w:rsid w:val="00A10D70"/>
    <w:rsid w:val="00A110E7"/>
    <w:rsid w:val="00A1119E"/>
    <w:rsid w:val="00A11302"/>
    <w:rsid w:val="00A133FB"/>
    <w:rsid w:val="00A20B5B"/>
    <w:rsid w:val="00A20D6E"/>
    <w:rsid w:val="00A22F87"/>
    <w:rsid w:val="00A25D23"/>
    <w:rsid w:val="00A25EF6"/>
    <w:rsid w:val="00A315C3"/>
    <w:rsid w:val="00A3163A"/>
    <w:rsid w:val="00A35F58"/>
    <w:rsid w:val="00A36189"/>
    <w:rsid w:val="00A36F69"/>
    <w:rsid w:val="00A42BEF"/>
    <w:rsid w:val="00A4388B"/>
    <w:rsid w:val="00A44FE7"/>
    <w:rsid w:val="00A459D7"/>
    <w:rsid w:val="00A505D0"/>
    <w:rsid w:val="00A50A0D"/>
    <w:rsid w:val="00A5213A"/>
    <w:rsid w:val="00A5507A"/>
    <w:rsid w:val="00A55969"/>
    <w:rsid w:val="00A57195"/>
    <w:rsid w:val="00A619C6"/>
    <w:rsid w:val="00A62C00"/>
    <w:rsid w:val="00A659DE"/>
    <w:rsid w:val="00A6673D"/>
    <w:rsid w:val="00A67387"/>
    <w:rsid w:val="00A712BD"/>
    <w:rsid w:val="00A723DA"/>
    <w:rsid w:val="00A759B1"/>
    <w:rsid w:val="00A76CC1"/>
    <w:rsid w:val="00A82BFD"/>
    <w:rsid w:val="00A8774E"/>
    <w:rsid w:val="00A9053D"/>
    <w:rsid w:val="00A916DE"/>
    <w:rsid w:val="00A925A1"/>
    <w:rsid w:val="00A9314E"/>
    <w:rsid w:val="00A94441"/>
    <w:rsid w:val="00A95005"/>
    <w:rsid w:val="00AA1099"/>
    <w:rsid w:val="00AA2C17"/>
    <w:rsid w:val="00AA6AB2"/>
    <w:rsid w:val="00AB4D2E"/>
    <w:rsid w:val="00AB56E4"/>
    <w:rsid w:val="00AB5CB1"/>
    <w:rsid w:val="00AC702D"/>
    <w:rsid w:val="00AC76C5"/>
    <w:rsid w:val="00AD3409"/>
    <w:rsid w:val="00AD6CF2"/>
    <w:rsid w:val="00AD7733"/>
    <w:rsid w:val="00AE038A"/>
    <w:rsid w:val="00AE1731"/>
    <w:rsid w:val="00AE53A1"/>
    <w:rsid w:val="00AF0B00"/>
    <w:rsid w:val="00AF1804"/>
    <w:rsid w:val="00AF4072"/>
    <w:rsid w:val="00AF47F1"/>
    <w:rsid w:val="00AF4A25"/>
    <w:rsid w:val="00AF5792"/>
    <w:rsid w:val="00B013CE"/>
    <w:rsid w:val="00B06A30"/>
    <w:rsid w:val="00B10C36"/>
    <w:rsid w:val="00B120BC"/>
    <w:rsid w:val="00B12494"/>
    <w:rsid w:val="00B13419"/>
    <w:rsid w:val="00B14F6A"/>
    <w:rsid w:val="00B15196"/>
    <w:rsid w:val="00B20392"/>
    <w:rsid w:val="00B2054B"/>
    <w:rsid w:val="00B20B35"/>
    <w:rsid w:val="00B262A3"/>
    <w:rsid w:val="00B268A8"/>
    <w:rsid w:val="00B318AD"/>
    <w:rsid w:val="00B32253"/>
    <w:rsid w:val="00B33087"/>
    <w:rsid w:val="00B42C9F"/>
    <w:rsid w:val="00B4355A"/>
    <w:rsid w:val="00B450D0"/>
    <w:rsid w:val="00B50E36"/>
    <w:rsid w:val="00B53FE0"/>
    <w:rsid w:val="00B542EC"/>
    <w:rsid w:val="00B546D7"/>
    <w:rsid w:val="00B61531"/>
    <w:rsid w:val="00B659D7"/>
    <w:rsid w:val="00B65E14"/>
    <w:rsid w:val="00B65F80"/>
    <w:rsid w:val="00B70059"/>
    <w:rsid w:val="00B71CCE"/>
    <w:rsid w:val="00B72717"/>
    <w:rsid w:val="00B839BF"/>
    <w:rsid w:val="00B96B88"/>
    <w:rsid w:val="00B978F5"/>
    <w:rsid w:val="00BA0D22"/>
    <w:rsid w:val="00BA1491"/>
    <w:rsid w:val="00BB293A"/>
    <w:rsid w:val="00BB2970"/>
    <w:rsid w:val="00BB3D7C"/>
    <w:rsid w:val="00BB61C4"/>
    <w:rsid w:val="00BB6598"/>
    <w:rsid w:val="00BD2172"/>
    <w:rsid w:val="00BD2835"/>
    <w:rsid w:val="00BE33EB"/>
    <w:rsid w:val="00BE7025"/>
    <w:rsid w:val="00BE7FF9"/>
    <w:rsid w:val="00BF07B5"/>
    <w:rsid w:val="00BF15E1"/>
    <w:rsid w:val="00BF2CEE"/>
    <w:rsid w:val="00BF446A"/>
    <w:rsid w:val="00C004CB"/>
    <w:rsid w:val="00C01598"/>
    <w:rsid w:val="00C02FF8"/>
    <w:rsid w:val="00C04D1A"/>
    <w:rsid w:val="00C0774E"/>
    <w:rsid w:val="00C10B7D"/>
    <w:rsid w:val="00C118A8"/>
    <w:rsid w:val="00C13BEE"/>
    <w:rsid w:val="00C15713"/>
    <w:rsid w:val="00C17726"/>
    <w:rsid w:val="00C17ECB"/>
    <w:rsid w:val="00C20399"/>
    <w:rsid w:val="00C21DC3"/>
    <w:rsid w:val="00C22606"/>
    <w:rsid w:val="00C23384"/>
    <w:rsid w:val="00C243C2"/>
    <w:rsid w:val="00C24FB0"/>
    <w:rsid w:val="00C25804"/>
    <w:rsid w:val="00C27562"/>
    <w:rsid w:val="00C27A1B"/>
    <w:rsid w:val="00C30CDB"/>
    <w:rsid w:val="00C3199F"/>
    <w:rsid w:val="00C35C95"/>
    <w:rsid w:val="00C3658F"/>
    <w:rsid w:val="00C37689"/>
    <w:rsid w:val="00C43FE0"/>
    <w:rsid w:val="00C441C0"/>
    <w:rsid w:val="00C4483A"/>
    <w:rsid w:val="00C4544D"/>
    <w:rsid w:val="00C472E1"/>
    <w:rsid w:val="00C510A9"/>
    <w:rsid w:val="00C51896"/>
    <w:rsid w:val="00C5466F"/>
    <w:rsid w:val="00C61946"/>
    <w:rsid w:val="00C637D4"/>
    <w:rsid w:val="00C653C8"/>
    <w:rsid w:val="00C65A0B"/>
    <w:rsid w:val="00C66A0A"/>
    <w:rsid w:val="00C67777"/>
    <w:rsid w:val="00C733B1"/>
    <w:rsid w:val="00C733E6"/>
    <w:rsid w:val="00C73563"/>
    <w:rsid w:val="00C747E9"/>
    <w:rsid w:val="00C7669F"/>
    <w:rsid w:val="00C82ED6"/>
    <w:rsid w:val="00C84FB1"/>
    <w:rsid w:val="00C8653F"/>
    <w:rsid w:val="00C86834"/>
    <w:rsid w:val="00C92757"/>
    <w:rsid w:val="00C9691D"/>
    <w:rsid w:val="00CA16B3"/>
    <w:rsid w:val="00CA2B84"/>
    <w:rsid w:val="00CA34CC"/>
    <w:rsid w:val="00CA67C4"/>
    <w:rsid w:val="00CA7687"/>
    <w:rsid w:val="00CB2330"/>
    <w:rsid w:val="00CB5F12"/>
    <w:rsid w:val="00CB65B2"/>
    <w:rsid w:val="00CB69AC"/>
    <w:rsid w:val="00CB6B33"/>
    <w:rsid w:val="00CB7EEA"/>
    <w:rsid w:val="00CC1C31"/>
    <w:rsid w:val="00CC52CC"/>
    <w:rsid w:val="00CC56F0"/>
    <w:rsid w:val="00CC5BBD"/>
    <w:rsid w:val="00CC6A30"/>
    <w:rsid w:val="00CD40B3"/>
    <w:rsid w:val="00CD68F6"/>
    <w:rsid w:val="00CE3406"/>
    <w:rsid w:val="00CE6923"/>
    <w:rsid w:val="00CE6D24"/>
    <w:rsid w:val="00CF1993"/>
    <w:rsid w:val="00CF1B91"/>
    <w:rsid w:val="00CF37DD"/>
    <w:rsid w:val="00CF3B69"/>
    <w:rsid w:val="00CF7187"/>
    <w:rsid w:val="00D00479"/>
    <w:rsid w:val="00D01A17"/>
    <w:rsid w:val="00D03E6F"/>
    <w:rsid w:val="00D048C4"/>
    <w:rsid w:val="00D06A1E"/>
    <w:rsid w:val="00D10E03"/>
    <w:rsid w:val="00D14ED8"/>
    <w:rsid w:val="00D17306"/>
    <w:rsid w:val="00D2022E"/>
    <w:rsid w:val="00D2350E"/>
    <w:rsid w:val="00D26842"/>
    <w:rsid w:val="00D26F21"/>
    <w:rsid w:val="00D3129B"/>
    <w:rsid w:val="00D31B35"/>
    <w:rsid w:val="00D3200E"/>
    <w:rsid w:val="00D320C4"/>
    <w:rsid w:val="00D4061A"/>
    <w:rsid w:val="00D4186B"/>
    <w:rsid w:val="00D42CF5"/>
    <w:rsid w:val="00D43792"/>
    <w:rsid w:val="00D4488F"/>
    <w:rsid w:val="00D45DE7"/>
    <w:rsid w:val="00D544EB"/>
    <w:rsid w:val="00D5746C"/>
    <w:rsid w:val="00D60058"/>
    <w:rsid w:val="00D61AAB"/>
    <w:rsid w:val="00D61D01"/>
    <w:rsid w:val="00D6295E"/>
    <w:rsid w:val="00D64142"/>
    <w:rsid w:val="00D664BA"/>
    <w:rsid w:val="00D66A32"/>
    <w:rsid w:val="00D73C44"/>
    <w:rsid w:val="00D7588B"/>
    <w:rsid w:val="00D77314"/>
    <w:rsid w:val="00D77625"/>
    <w:rsid w:val="00D80516"/>
    <w:rsid w:val="00D8095E"/>
    <w:rsid w:val="00D81392"/>
    <w:rsid w:val="00D82378"/>
    <w:rsid w:val="00D82E5B"/>
    <w:rsid w:val="00D82ED1"/>
    <w:rsid w:val="00D84AF0"/>
    <w:rsid w:val="00D84BB5"/>
    <w:rsid w:val="00D85AC4"/>
    <w:rsid w:val="00D876D3"/>
    <w:rsid w:val="00D93FBE"/>
    <w:rsid w:val="00DA0172"/>
    <w:rsid w:val="00DA6C2C"/>
    <w:rsid w:val="00DB3CD3"/>
    <w:rsid w:val="00DB4DE4"/>
    <w:rsid w:val="00DB69CB"/>
    <w:rsid w:val="00DC0633"/>
    <w:rsid w:val="00DC223D"/>
    <w:rsid w:val="00DC4047"/>
    <w:rsid w:val="00DC5B5C"/>
    <w:rsid w:val="00DD1D41"/>
    <w:rsid w:val="00DD2B03"/>
    <w:rsid w:val="00DD3539"/>
    <w:rsid w:val="00DD3665"/>
    <w:rsid w:val="00DD4447"/>
    <w:rsid w:val="00DD4672"/>
    <w:rsid w:val="00DD502C"/>
    <w:rsid w:val="00DD6182"/>
    <w:rsid w:val="00DD7C85"/>
    <w:rsid w:val="00DE00D1"/>
    <w:rsid w:val="00DE582D"/>
    <w:rsid w:val="00DF010C"/>
    <w:rsid w:val="00DF2FD5"/>
    <w:rsid w:val="00DF470A"/>
    <w:rsid w:val="00DF4D12"/>
    <w:rsid w:val="00DF582D"/>
    <w:rsid w:val="00E01E5B"/>
    <w:rsid w:val="00E02D9C"/>
    <w:rsid w:val="00E058BE"/>
    <w:rsid w:val="00E06090"/>
    <w:rsid w:val="00E06F6D"/>
    <w:rsid w:val="00E07686"/>
    <w:rsid w:val="00E12B5F"/>
    <w:rsid w:val="00E13A31"/>
    <w:rsid w:val="00E13EE2"/>
    <w:rsid w:val="00E15C52"/>
    <w:rsid w:val="00E20D3E"/>
    <w:rsid w:val="00E23161"/>
    <w:rsid w:val="00E234A5"/>
    <w:rsid w:val="00E24CD9"/>
    <w:rsid w:val="00E2695C"/>
    <w:rsid w:val="00E31552"/>
    <w:rsid w:val="00E3414F"/>
    <w:rsid w:val="00E345E3"/>
    <w:rsid w:val="00E355C7"/>
    <w:rsid w:val="00E35875"/>
    <w:rsid w:val="00E401B0"/>
    <w:rsid w:val="00E422FE"/>
    <w:rsid w:val="00E427BE"/>
    <w:rsid w:val="00E44110"/>
    <w:rsid w:val="00E53E67"/>
    <w:rsid w:val="00E57557"/>
    <w:rsid w:val="00E60B2F"/>
    <w:rsid w:val="00E6601C"/>
    <w:rsid w:val="00E7112F"/>
    <w:rsid w:val="00E73E61"/>
    <w:rsid w:val="00E74321"/>
    <w:rsid w:val="00E74E67"/>
    <w:rsid w:val="00E75B1D"/>
    <w:rsid w:val="00E77C84"/>
    <w:rsid w:val="00E8344D"/>
    <w:rsid w:val="00E83AD7"/>
    <w:rsid w:val="00E84D25"/>
    <w:rsid w:val="00E863DF"/>
    <w:rsid w:val="00E86748"/>
    <w:rsid w:val="00E878CE"/>
    <w:rsid w:val="00E921CA"/>
    <w:rsid w:val="00E9237A"/>
    <w:rsid w:val="00E92AE7"/>
    <w:rsid w:val="00E951DB"/>
    <w:rsid w:val="00E96C50"/>
    <w:rsid w:val="00E9720F"/>
    <w:rsid w:val="00E97BD6"/>
    <w:rsid w:val="00EA088C"/>
    <w:rsid w:val="00EA44CC"/>
    <w:rsid w:val="00EA7A50"/>
    <w:rsid w:val="00EA7F94"/>
    <w:rsid w:val="00EB13B0"/>
    <w:rsid w:val="00EB29DE"/>
    <w:rsid w:val="00EB2A10"/>
    <w:rsid w:val="00EB372C"/>
    <w:rsid w:val="00EB39CD"/>
    <w:rsid w:val="00EB5C09"/>
    <w:rsid w:val="00EB5D51"/>
    <w:rsid w:val="00EB78EB"/>
    <w:rsid w:val="00EC0EE8"/>
    <w:rsid w:val="00EC0EF6"/>
    <w:rsid w:val="00EC30D4"/>
    <w:rsid w:val="00EC3FE7"/>
    <w:rsid w:val="00EC5185"/>
    <w:rsid w:val="00EC68FD"/>
    <w:rsid w:val="00EC712E"/>
    <w:rsid w:val="00ED26A9"/>
    <w:rsid w:val="00ED365F"/>
    <w:rsid w:val="00ED5AB1"/>
    <w:rsid w:val="00ED6045"/>
    <w:rsid w:val="00ED7687"/>
    <w:rsid w:val="00EE1DD5"/>
    <w:rsid w:val="00EE1F9F"/>
    <w:rsid w:val="00EE6127"/>
    <w:rsid w:val="00EE683F"/>
    <w:rsid w:val="00EE788C"/>
    <w:rsid w:val="00EF160B"/>
    <w:rsid w:val="00EF3326"/>
    <w:rsid w:val="00EF3D76"/>
    <w:rsid w:val="00EF54C4"/>
    <w:rsid w:val="00EF735C"/>
    <w:rsid w:val="00F001C7"/>
    <w:rsid w:val="00F0061C"/>
    <w:rsid w:val="00F04164"/>
    <w:rsid w:val="00F05544"/>
    <w:rsid w:val="00F117A5"/>
    <w:rsid w:val="00F20696"/>
    <w:rsid w:val="00F21F58"/>
    <w:rsid w:val="00F22886"/>
    <w:rsid w:val="00F24526"/>
    <w:rsid w:val="00F250AE"/>
    <w:rsid w:val="00F30732"/>
    <w:rsid w:val="00F31D32"/>
    <w:rsid w:val="00F375AB"/>
    <w:rsid w:val="00F417C0"/>
    <w:rsid w:val="00F41C0A"/>
    <w:rsid w:val="00F41EC0"/>
    <w:rsid w:val="00F43CD7"/>
    <w:rsid w:val="00F460B4"/>
    <w:rsid w:val="00F50EBE"/>
    <w:rsid w:val="00F510F4"/>
    <w:rsid w:val="00F52DE7"/>
    <w:rsid w:val="00F54EC0"/>
    <w:rsid w:val="00F55475"/>
    <w:rsid w:val="00F5674C"/>
    <w:rsid w:val="00F56BDE"/>
    <w:rsid w:val="00F5702C"/>
    <w:rsid w:val="00F6107A"/>
    <w:rsid w:val="00F61DE6"/>
    <w:rsid w:val="00F660B6"/>
    <w:rsid w:val="00F66317"/>
    <w:rsid w:val="00F729E7"/>
    <w:rsid w:val="00F730EF"/>
    <w:rsid w:val="00F7537A"/>
    <w:rsid w:val="00F768F6"/>
    <w:rsid w:val="00F779EE"/>
    <w:rsid w:val="00F811A4"/>
    <w:rsid w:val="00F915C2"/>
    <w:rsid w:val="00F92762"/>
    <w:rsid w:val="00F92A59"/>
    <w:rsid w:val="00F9316B"/>
    <w:rsid w:val="00F97BE0"/>
    <w:rsid w:val="00FA2569"/>
    <w:rsid w:val="00FA4A8D"/>
    <w:rsid w:val="00FA4CE4"/>
    <w:rsid w:val="00FA4DFB"/>
    <w:rsid w:val="00FA7C5A"/>
    <w:rsid w:val="00FB0BE4"/>
    <w:rsid w:val="00FB1113"/>
    <w:rsid w:val="00FB1774"/>
    <w:rsid w:val="00FC022C"/>
    <w:rsid w:val="00FC07A5"/>
    <w:rsid w:val="00FC43A4"/>
    <w:rsid w:val="00FC480F"/>
    <w:rsid w:val="00FC567B"/>
    <w:rsid w:val="00FC6611"/>
    <w:rsid w:val="00FD4095"/>
    <w:rsid w:val="00FD4F08"/>
    <w:rsid w:val="00FD5A21"/>
    <w:rsid w:val="00FD7881"/>
    <w:rsid w:val="00FE107D"/>
    <w:rsid w:val="00FE445F"/>
    <w:rsid w:val="00FE47CF"/>
    <w:rsid w:val="00FE684B"/>
    <w:rsid w:val="00FE68E1"/>
    <w:rsid w:val="00FF3DCB"/>
    <w:rsid w:val="00FF555C"/>
    <w:rsid w:val="00FF70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35B77C8"/>
  <w15:chartTrackingRefBased/>
  <w15:docId w15:val="{3590F8CE-1BC2-F54E-8E20-863135731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FC07A5"/>
    <w:pPr>
      <w:spacing w:after="240"/>
      <w:outlineLvl w:val="0"/>
    </w:pPr>
    <w:rPr>
      <w:rFonts w:ascii="Times New Roman" w:hAnsi="Times New Roman" w:cs="Times New Roman"/>
      <w:color w:val="000000" w:themeColor="text1"/>
    </w:rPr>
  </w:style>
  <w:style w:type="paragraph" w:styleId="Heading2">
    <w:name w:val="heading 2"/>
    <w:basedOn w:val="Normal"/>
    <w:next w:val="Normal"/>
    <w:link w:val="Heading2Char"/>
    <w:uiPriority w:val="9"/>
    <w:semiHidden/>
    <w:unhideWhenUsed/>
    <w:qFormat/>
    <w:rsid w:val="00602D5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02D5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02D5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02D5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02D5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02D5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02D5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02D5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07A5"/>
    <w:rPr>
      <w:rFonts w:ascii="Times New Roman" w:eastAsiaTheme="minorEastAsia" w:hAnsi="Times New Roman" w:cs="Times New Roman"/>
      <w:color w:val="000000" w:themeColor="text1"/>
    </w:rPr>
  </w:style>
  <w:style w:type="character" w:customStyle="1" w:styleId="Heading2Char">
    <w:name w:val="Heading 2 Char"/>
    <w:basedOn w:val="DefaultParagraphFont"/>
    <w:link w:val="Heading2"/>
    <w:uiPriority w:val="9"/>
    <w:semiHidden/>
    <w:rsid w:val="00602D5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02D5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02D5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02D5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02D5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02D5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02D5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02D5B"/>
    <w:rPr>
      <w:rFonts w:eastAsiaTheme="majorEastAsia" w:cstheme="majorBidi"/>
      <w:color w:val="272727" w:themeColor="text1" w:themeTint="D8"/>
    </w:rPr>
  </w:style>
  <w:style w:type="paragraph" w:styleId="Title">
    <w:name w:val="Title"/>
    <w:basedOn w:val="Normal"/>
    <w:next w:val="Normal"/>
    <w:link w:val="TitleChar"/>
    <w:uiPriority w:val="10"/>
    <w:qFormat/>
    <w:rsid w:val="00602D5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02D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02D5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02D5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02D5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02D5B"/>
    <w:rPr>
      <w:i/>
      <w:iCs/>
      <w:color w:val="404040" w:themeColor="text1" w:themeTint="BF"/>
    </w:rPr>
  </w:style>
  <w:style w:type="paragraph" w:styleId="ListParagraph">
    <w:name w:val="List Paragraph"/>
    <w:basedOn w:val="Normal"/>
    <w:uiPriority w:val="34"/>
    <w:qFormat/>
    <w:rsid w:val="00602D5B"/>
    <w:pPr>
      <w:ind w:left="720"/>
      <w:contextualSpacing/>
    </w:pPr>
  </w:style>
  <w:style w:type="character" w:styleId="IntenseEmphasis">
    <w:name w:val="Intense Emphasis"/>
    <w:basedOn w:val="DefaultParagraphFont"/>
    <w:uiPriority w:val="21"/>
    <w:qFormat/>
    <w:rsid w:val="00602D5B"/>
    <w:rPr>
      <w:i/>
      <w:iCs/>
      <w:color w:val="2F5496" w:themeColor="accent1" w:themeShade="BF"/>
    </w:rPr>
  </w:style>
  <w:style w:type="paragraph" w:styleId="IntenseQuote">
    <w:name w:val="Intense Quote"/>
    <w:basedOn w:val="Normal"/>
    <w:next w:val="Normal"/>
    <w:link w:val="IntenseQuoteChar"/>
    <w:uiPriority w:val="30"/>
    <w:qFormat/>
    <w:rsid w:val="00602D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02D5B"/>
    <w:rPr>
      <w:i/>
      <w:iCs/>
      <w:color w:val="2F5496" w:themeColor="accent1" w:themeShade="BF"/>
    </w:rPr>
  </w:style>
  <w:style w:type="character" w:styleId="IntenseReference">
    <w:name w:val="Intense Reference"/>
    <w:basedOn w:val="DefaultParagraphFont"/>
    <w:uiPriority w:val="32"/>
    <w:qFormat/>
    <w:rsid w:val="00602D5B"/>
    <w:rPr>
      <w:b/>
      <w:bCs/>
      <w:smallCaps/>
      <w:color w:val="2F5496" w:themeColor="accent1" w:themeShade="BF"/>
      <w:spacing w:val="5"/>
    </w:rPr>
  </w:style>
  <w:style w:type="character" w:customStyle="1" w:styleId="il">
    <w:name w:val="il"/>
    <w:basedOn w:val="DefaultParagraphFont"/>
    <w:rsid w:val="00FC43A4"/>
  </w:style>
  <w:style w:type="character" w:customStyle="1" w:styleId="m-2251020319056543193apple-converted-space">
    <w:name w:val="m_-2251020319056543193apple-converted-space"/>
    <w:basedOn w:val="DefaultParagraphFont"/>
    <w:rsid w:val="00FC43A4"/>
  </w:style>
  <w:style w:type="paragraph" w:styleId="Footer">
    <w:name w:val="footer"/>
    <w:basedOn w:val="Normal"/>
    <w:link w:val="FooterChar"/>
    <w:uiPriority w:val="99"/>
    <w:unhideWhenUsed/>
    <w:rsid w:val="00E9720F"/>
    <w:pPr>
      <w:tabs>
        <w:tab w:val="center" w:pos="4513"/>
        <w:tab w:val="right" w:pos="9026"/>
      </w:tabs>
    </w:pPr>
  </w:style>
  <w:style w:type="character" w:customStyle="1" w:styleId="FooterChar">
    <w:name w:val="Footer Char"/>
    <w:basedOn w:val="DefaultParagraphFont"/>
    <w:link w:val="Footer"/>
    <w:uiPriority w:val="99"/>
    <w:rsid w:val="00E9720F"/>
  </w:style>
  <w:style w:type="character" w:styleId="PageNumber">
    <w:name w:val="page number"/>
    <w:basedOn w:val="DefaultParagraphFont"/>
    <w:uiPriority w:val="99"/>
    <w:semiHidden/>
    <w:unhideWhenUsed/>
    <w:rsid w:val="00E9720F"/>
  </w:style>
  <w:style w:type="paragraph" w:styleId="Header">
    <w:name w:val="header"/>
    <w:basedOn w:val="Normal"/>
    <w:link w:val="HeaderChar"/>
    <w:uiPriority w:val="99"/>
    <w:unhideWhenUsed/>
    <w:rsid w:val="00E9720F"/>
    <w:pPr>
      <w:tabs>
        <w:tab w:val="center" w:pos="4513"/>
        <w:tab w:val="right" w:pos="9026"/>
      </w:tabs>
    </w:pPr>
  </w:style>
  <w:style w:type="character" w:customStyle="1" w:styleId="HeaderChar">
    <w:name w:val="Header Char"/>
    <w:basedOn w:val="DefaultParagraphFont"/>
    <w:link w:val="Header"/>
    <w:uiPriority w:val="99"/>
    <w:rsid w:val="00E9720F"/>
  </w:style>
  <w:style w:type="paragraph" w:styleId="FootnoteText">
    <w:name w:val="footnote text"/>
    <w:basedOn w:val="Normal"/>
    <w:link w:val="FootnoteTextChar"/>
    <w:unhideWhenUsed/>
    <w:rsid w:val="0021433E"/>
    <w:rPr>
      <w:sz w:val="20"/>
      <w:szCs w:val="20"/>
    </w:rPr>
  </w:style>
  <w:style w:type="character" w:customStyle="1" w:styleId="FootnoteTextChar">
    <w:name w:val="Footnote Text Char"/>
    <w:basedOn w:val="DefaultParagraphFont"/>
    <w:link w:val="FootnoteText"/>
    <w:uiPriority w:val="99"/>
    <w:rsid w:val="0021433E"/>
    <w:rPr>
      <w:sz w:val="20"/>
      <w:szCs w:val="20"/>
    </w:rPr>
  </w:style>
  <w:style w:type="character" w:styleId="FootnoteReference">
    <w:name w:val="footnote reference"/>
    <w:basedOn w:val="DefaultParagraphFont"/>
    <w:uiPriority w:val="99"/>
    <w:semiHidden/>
    <w:unhideWhenUsed/>
    <w:rsid w:val="0021433E"/>
    <w:rPr>
      <w:vertAlign w:val="superscript"/>
    </w:rPr>
  </w:style>
  <w:style w:type="character" w:styleId="Hyperlink">
    <w:name w:val="Hyperlink"/>
    <w:basedOn w:val="DefaultParagraphFont"/>
    <w:uiPriority w:val="99"/>
    <w:unhideWhenUsed/>
    <w:rsid w:val="002811B8"/>
    <w:rPr>
      <w:color w:val="0563C1" w:themeColor="hyperlink"/>
      <w:u w:val="single"/>
    </w:rPr>
  </w:style>
  <w:style w:type="character" w:styleId="UnresolvedMention">
    <w:name w:val="Unresolved Mention"/>
    <w:basedOn w:val="DefaultParagraphFont"/>
    <w:uiPriority w:val="99"/>
    <w:semiHidden/>
    <w:unhideWhenUsed/>
    <w:rsid w:val="002811B8"/>
    <w:rPr>
      <w:color w:val="605E5C"/>
      <w:shd w:val="clear" w:color="auto" w:fill="E1DFDD"/>
    </w:rPr>
  </w:style>
  <w:style w:type="paragraph" w:styleId="EndnoteText">
    <w:name w:val="endnote text"/>
    <w:basedOn w:val="Normal"/>
    <w:link w:val="EndnoteTextChar"/>
    <w:uiPriority w:val="99"/>
    <w:semiHidden/>
    <w:unhideWhenUsed/>
    <w:rsid w:val="007A7EF9"/>
    <w:rPr>
      <w:sz w:val="20"/>
      <w:szCs w:val="20"/>
    </w:rPr>
  </w:style>
  <w:style w:type="character" w:customStyle="1" w:styleId="EndnoteTextChar">
    <w:name w:val="Endnote Text Char"/>
    <w:basedOn w:val="DefaultParagraphFont"/>
    <w:link w:val="EndnoteText"/>
    <w:uiPriority w:val="99"/>
    <w:semiHidden/>
    <w:rsid w:val="007A7EF9"/>
    <w:rPr>
      <w:sz w:val="20"/>
      <w:szCs w:val="20"/>
    </w:rPr>
  </w:style>
  <w:style w:type="character" w:styleId="EndnoteReference">
    <w:name w:val="endnote reference"/>
    <w:basedOn w:val="DefaultParagraphFont"/>
    <w:uiPriority w:val="99"/>
    <w:semiHidden/>
    <w:unhideWhenUsed/>
    <w:rsid w:val="007A7E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299423">
      <w:bodyDiv w:val="1"/>
      <w:marLeft w:val="0"/>
      <w:marRight w:val="0"/>
      <w:marTop w:val="0"/>
      <w:marBottom w:val="0"/>
      <w:divBdr>
        <w:top w:val="none" w:sz="0" w:space="0" w:color="auto"/>
        <w:left w:val="none" w:sz="0" w:space="0" w:color="auto"/>
        <w:bottom w:val="none" w:sz="0" w:space="0" w:color="auto"/>
        <w:right w:val="none" w:sz="0" w:space="0" w:color="auto"/>
      </w:divBdr>
    </w:div>
    <w:div w:id="458307919">
      <w:bodyDiv w:val="1"/>
      <w:marLeft w:val="0"/>
      <w:marRight w:val="0"/>
      <w:marTop w:val="0"/>
      <w:marBottom w:val="0"/>
      <w:divBdr>
        <w:top w:val="none" w:sz="0" w:space="0" w:color="auto"/>
        <w:left w:val="none" w:sz="0" w:space="0" w:color="auto"/>
        <w:bottom w:val="none" w:sz="0" w:space="0" w:color="auto"/>
        <w:right w:val="none" w:sz="0" w:space="0" w:color="auto"/>
      </w:divBdr>
      <w:divsChild>
        <w:div w:id="671907058">
          <w:marLeft w:val="0"/>
          <w:marRight w:val="0"/>
          <w:marTop w:val="0"/>
          <w:marBottom w:val="0"/>
          <w:divBdr>
            <w:top w:val="none" w:sz="0" w:space="0" w:color="auto"/>
            <w:left w:val="none" w:sz="0" w:space="0" w:color="auto"/>
            <w:bottom w:val="none" w:sz="0" w:space="0" w:color="auto"/>
            <w:right w:val="none" w:sz="0" w:space="0" w:color="auto"/>
          </w:divBdr>
          <w:divsChild>
            <w:div w:id="850532054">
              <w:marLeft w:val="0"/>
              <w:marRight w:val="0"/>
              <w:marTop w:val="0"/>
              <w:marBottom w:val="0"/>
              <w:divBdr>
                <w:top w:val="none" w:sz="0" w:space="0" w:color="auto"/>
                <w:left w:val="none" w:sz="0" w:space="0" w:color="auto"/>
                <w:bottom w:val="none" w:sz="0" w:space="0" w:color="auto"/>
                <w:right w:val="none" w:sz="0" w:space="0" w:color="auto"/>
              </w:divBdr>
            </w:div>
          </w:divsChild>
        </w:div>
        <w:div w:id="289676279">
          <w:marLeft w:val="0"/>
          <w:marRight w:val="0"/>
          <w:marTop w:val="0"/>
          <w:marBottom w:val="0"/>
          <w:divBdr>
            <w:top w:val="none" w:sz="0" w:space="0" w:color="auto"/>
            <w:left w:val="none" w:sz="0" w:space="0" w:color="auto"/>
            <w:bottom w:val="none" w:sz="0" w:space="0" w:color="auto"/>
            <w:right w:val="none" w:sz="0" w:space="0" w:color="auto"/>
          </w:divBdr>
          <w:divsChild>
            <w:div w:id="1131634031">
              <w:marLeft w:val="0"/>
              <w:marRight w:val="0"/>
              <w:marTop w:val="0"/>
              <w:marBottom w:val="0"/>
              <w:divBdr>
                <w:top w:val="none" w:sz="0" w:space="0" w:color="auto"/>
                <w:left w:val="none" w:sz="0" w:space="0" w:color="auto"/>
                <w:bottom w:val="none" w:sz="0" w:space="0" w:color="auto"/>
                <w:right w:val="none" w:sz="0" w:space="0" w:color="auto"/>
              </w:divBdr>
              <w:divsChild>
                <w:div w:id="43976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138003">
          <w:marLeft w:val="0"/>
          <w:marRight w:val="0"/>
          <w:marTop w:val="0"/>
          <w:marBottom w:val="0"/>
          <w:divBdr>
            <w:top w:val="none" w:sz="0" w:space="0" w:color="auto"/>
            <w:left w:val="none" w:sz="0" w:space="0" w:color="auto"/>
            <w:bottom w:val="none" w:sz="0" w:space="0" w:color="auto"/>
            <w:right w:val="none" w:sz="0" w:space="0" w:color="auto"/>
          </w:divBdr>
          <w:divsChild>
            <w:div w:id="1765957926">
              <w:marLeft w:val="0"/>
              <w:marRight w:val="0"/>
              <w:marTop w:val="0"/>
              <w:marBottom w:val="0"/>
              <w:divBdr>
                <w:top w:val="none" w:sz="0" w:space="0" w:color="auto"/>
                <w:left w:val="none" w:sz="0" w:space="0" w:color="auto"/>
                <w:bottom w:val="none" w:sz="0" w:space="0" w:color="auto"/>
                <w:right w:val="none" w:sz="0" w:space="0" w:color="auto"/>
              </w:divBdr>
            </w:div>
            <w:div w:id="184877475">
              <w:marLeft w:val="0"/>
              <w:marRight w:val="0"/>
              <w:marTop w:val="0"/>
              <w:marBottom w:val="0"/>
              <w:divBdr>
                <w:top w:val="none" w:sz="0" w:space="0" w:color="auto"/>
                <w:left w:val="none" w:sz="0" w:space="0" w:color="auto"/>
                <w:bottom w:val="none" w:sz="0" w:space="0" w:color="auto"/>
                <w:right w:val="none" w:sz="0" w:space="0" w:color="auto"/>
              </w:divBdr>
            </w:div>
          </w:divsChild>
        </w:div>
        <w:div w:id="1006439013">
          <w:marLeft w:val="0"/>
          <w:marRight w:val="0"/>
          <w:marTop w:val="0"/>
          <w:marBottom w:val="0"/>
          <w:divBdr>
            <w:top w:val="none" w:sz="0" w:space="0" w:color="auto"/>
            <w:left w:val="none" w:sz="0" w:space="0" w:color="auto"/>
            <w:bottom w:val="none" w:sz="0" w:space="0" w:color="auto"/>
            <w:right w:val="none" w:sz="0" w:space="0" w:color="auto"/>
          </w:divBdr>
          <w:divsChild>
            <w:div w:id="1495489677">
              <w:marLeft w:val="0"/>
              <w:marRight w:val="0"/>
              <w:marTop w:val="0"/>
              <w:marBottom w:val="0"/>
              <w:divBdr>
                <w:top w:val="none" w:sz="0" w:space="0" w:color="auto"/>
                <w:left w:val="none" w:sz="0" w:space="0" w:color="auto"/>
                <w:bottom w:val="none" w:sz="0" w:space="0" w:color="auto"/>
                <w:right w:val="none" w:sz="0" w:space="0" w:color="auto"/>
              </w:divBdr>
              <w:divsChild>
                <w:div w:id="1232696824">
                  <w:marLeft w:val="0"/>
                  <w:marRight w:val="0"/>
                  <w:marTop w:val="0"/>
                  <w:marBottom w:val="0"/>
                  <w:divBdr>
                    <w:top w:val="none" w:sz="0" w:space="0" w:color="auto"/>
                    <w:left w:val="none" w:sz="0" w:space="0" w:color="auto"/>
                    <w:bottom w:val="none" w:sz="0" w:space="0" w:color="auto"/>
                    <w:right w:val="none" w:sz="0" w:space="0" w:color="auto"/>
                  </w:divBdr>
                  <w:divsChild>
                    <w:div w:id="1118641029">
                      <w:marLeft w:val="0"/>
                      <w:marRight w:val="0"/>
                      <w:marTop w:val="0"/>
                      <w:marBottom w:val="0"/>
                      <w:divBdr>
                        <w:top w:val="none" w:sz="0" w:space="0" w:color="auto"/>
                        <w:left w:val="none" w:sz="0" w:space="0" w:color="auto"/>
                        <w:bottom w:val="none" w:sz="0" w:space="0" w:color="auto"/>
                        <w:right w:val="none" w:sz="0" w:space="0" w:color="auto"/>
                      </w:divBdr>
                      <w:divsChild>
                        <w:div w:id="38260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2663379">
      <w:bodyDiv w:val="1"/>
      <w:marLeft w:val="0"/>
      <w:marRight w:val="0"/>
      <w:marTop w:val="0"/>
      <w:marBottom w:val="0"/>
      <w:divBdr>
        <w:top w:val="none" w:sz="0" w:space="0" w:color="auto"/>
        <w:left w:val="none" w:sz="0" w:space="0" w:color="auto"/>
        <w:bottom w:val="none" w:sz="0" w:space="0" w:color="auto"/>
        <w:right w:val="none" w:sz="0" w:space="0" w:color="auto"/>
      </w:divBdr>
    </w:div>
    <w:div w:id="736975308">
      <w:bodyDiv w:val="1"/>
      <w:marLeft w:val="0"/>
      <w:marRight w:val="0"/>
      <w:marTop w:val="0"/>
      <w:marBottom w:val="0"/>
      <w:divBdr>
        <w:top w:val="none" w:sz="0" w:space="0" w:color="auto"/>
        <w:left w:val="none" w:sz="0" w:space="0" w:color="auto"/>
        <w:bottom w:val="none" w:sz="0" w:space="0" w:color="auto"/>
        <w:right w:val="none" w:sz="0" w:space="0" w:color="auto"/>
      </w:divBdr>
      <w:divsChild>
        <w:div w:id="1845826412">
          <w:marLeft w:val="0"/>
          <w:marRight w:val="0"/>
          <w:marTop w:val="0"/>
          <w:marBottom w:val="0"/>
          <w:divBdr>
            <w:top w:val="none" w:sz="0" w:space="0" w:color="auto"/>
            <w:left w:val="none" w:sz="0" w:space="0" w:color="auto"/>
            <w:bottom w:val="none" w:sz="0" w:space="0" w:color="auto"/>
            <w:right w:val="none" w:sz="0" w:space="0" w:color="auto"/>
          </w:divBdr>
          <w:divsChild>
            <w:div w:id="179236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655090">
      <w:bodyDiv w:val="1"/>
      <w:marLeft w:val="0"/>
      <w:marRight w:val="0"/>
      <w:marTop w:val="0"/>
      <w:marBottom w:val="0"/>
      <w:divBdr>
        <w:top w:val="none" w:sz="0" w:space="0" w:color="auto"/>
        <w:left w:val="none" w:sz="0" w:space="0" w:color="auto"/>
        <w:bottom w:val="none" w:sz="0" w:space="0" w:color="auto"/>
        <w:right w:val="none" w:sz="0" w:space="0" w:color="auto"/>
      </w:divBdr>
      <w:divsChild>
        <w:div w:id="732898529">
          <w:marLeft w:val="0"/>
          <w:marRight w:val="0"/>
          <w:marTop w:val="0"/>
          <w:marBottom w:val="0"/>
          <w:divBdr>
            <w:top w:val="none" w:sz="0" w:space="0" w:color="auto"/>
            <w:left w:val="none" w:sz="0" w:space="0" w:color="auto"/>
            <w:bottom w:val="none" w:sz="0" w:space="0" w:color="auto"/>
            <w:right w:val="none" w:sz="0" w:space="0" w:color="auto"/>
          </w:divBdr>
        </w:div>
        <w:div w:id="1346904653">
          <w:marLeft w:val="0"/>
          <w:marRight w:val="0"/>
          <w:marTop w:val="0"/>
          <w:marBottom w:val="0"/>
          <w:divBdr>
            <w:top w:val="none" w:sz="0" w:space="0" w:color="auto"/>
            <w:left w:val="none" w:sz="0" w:space="0" w:color="auto"/>
            <w:bottom w:val="none" w:sz="0" w:space="0" w:color="auto"/>
            <w:right w:val="none" w:sz="0" w:space="0" w:color="auto"/>
          </w:divBdr>
        </w:div>
        <w:div w:id="631639720">
          <w:marLeft w:val="0"/>
          <w:marRight w:val="0"/>
          <w:marTop w:val="0"/>
          <w:marBottom w:val="0"/>
          <w:divBdr>
            <w:top w:val="none" w:sz="0" w:space="0" w:color="auto"/>
            <w:left w:val="none" w:sz="0" w:space="0" w:color="auto"/>
            <w:bottom w:val="none" w:sz="0" w:space="0" w:color="auto"/>
            <w:right w:val="none" w:sz="0" w:space="0" w:color="auto"/>
          </w:divBdr>
        </w:div>
      </w:divsChild>
    </w:div>
    <w:div w:id="1587111157">
      <w:bodyDiv w:val="1"/>
      <w:marLeft w:val="0"/>
      <w:marRight w:val="0"/>
      <w:marTop w:val="0"/>
      <w:marBottom w:val="0"/>
      <w:divBdr>
        <w:top w:val="none" w:sz="0" w:space="0" w:color="auto"/>
        <w:left w:val="none" w:sz="0" w:space="0" w:color="auto"/>
        <w:bottom w:val="none" w:sz="0" w:space="0" w:color="auto"/>
        <w:right w:val="none" w:sz="0" w:space="0" w:color="auto"/>
      </w:divBdr>
      <w:divsChild>
        <w:div w:id="2013216977">
          <w:marLeft w:val="0"/>
          <w:marRight w:val="0"/>
          <w:marTop w:val="0"/>
          <w:marBottom w:val="0"/>
          <w:divBdr>
            <w:top w:val="none" w:sz="0" w:space="0" w:color="auto"/>
            <w:left w:val="none" w:sz="0" w:space="0" w:color="auto"/>
            <w:bottom w:val="none" w:sz="0" w:space="0" w:color="auto"/>
            <w:right w:val="none" w:sz="0" w:space="0" w:color="auto"/>
          </w:divBdr>
          <w:divsChild>
            <w:div w:id="967275618">
              <w:marLeft w:val="0"/>
              <w:marRight w:val="0"/>
              <w:marTop w:val="0"/>
              <w:marBottom w:val="0"/>
              <w:divBdr>
                <w:top w:val="none" w:sz="0" w:space="0" w:color="auto"/>
                <w:left w:val="none" w:sz="0" w:space="0" w:color="auto"/>
                <w:bottom w:val="none" w:sz="0" w:space="0" w:color="auto"/>
                <w:right w:val="none" w:sz="0" w:space="0" w:color="auto"/>
              </w:divBdr>
              <w:divsChild>
                <w:div w:id="1943803583">
                  <w:marLeft w:val="0"/>
                  <w:marRight w:val="0"/>
                  <w:marTop w:val="0"/>
                  <w:marBottom w:val="0"/>
                  <w:divBdr>
                    <w:top w:val="none" w:sz="0" w:space="0" w:color="auto"/>
                    <w:left w:val="none" w:sz="0" w:space="0" w:color="auto"/>
                    <w:bottom w:val="none" w:sz="0" w:space="0" w:color="auto"/>
                    <w:right w:val="none" w:sz="0" w:space="0" w:color="auto"/>
                  </w:divBdr>
                  <w:divsChild>
                    <w:div w:id="1336614413">
                      <w:marLeft w:val="0"/>
                      <w:marRight w:val="0"/>
                      <w:marTop w:val="0"/>
                      <w:marBottom w:val="0"/>
                      <w:divBdr>
                        <w:top w:val="none" w:sz="0" w:space="0" w:color="auto"/>
                        <w:left w:val="none" w:sz="0" w:space="0" w:color="auto"/>
                        <w:bottom w:val="none" w:sz="0" w:space="0" w:color="auto"/>
                        <w:right w:val="none" w:sz="0" w:space="0" w:color="auto"/>
                      </w:divBdr>
                      <w:divsChild>
                        <w:div w:id="775058449">
                          <w:marLeft w:val="0"/>
                          <w:marRight w:val="0"/>
                          <w:marTop w:val="0"/>
                          <w:marBottom w:val="0"/>
                          <w:divBdr>
                            <w:top w:val="none" w:sz="0" w:space="0" w:color="auto"/>
                            <w:left w:val="none" w:sz="0" w:space="0" w:color="auto"/>
                            <w:bottom w:val="none" w:sz="0" w:space="0" w:color="auto"/>
                            <w:right w:val="none" w:sz="0" w:space="0" w:color="auto"/>
                          </w:divBdr>
                          <w:divsChild>
                            <w:div w:id="1566138422">
                              <w:marLeft w:val="0"/>
                              <w:marRight w:val="0"/>
                              <w:marTop w:val="0"/>
                              <w:marBottom w:val="0"/>
                              <w:divBdr>
                                <w:top w:val="none" w:sz="0" w:space="0" w:color="auto"/>
                                <w:left w:val="none" w:sz="0" w:space="0" w:color="auto"/>
                                <w:bottom w:val="none" w:sz="0" w:space="0" w:color="auto"/>
                                <w:right w:val="none" w:sz="0" w:space="0" w:color="auto"/>
                              </w:divBdr>
                              <w:divsChild>
                                <w:div w:id="287974290">
                                  <w:marLeft w:val="0"/>
                                  <w:marRight w:val="0"/>
                                  <w:marTop w:val="0"/>
                                  <w:marBottom w:val="0"/>
                                  <w:divBdr>
                                    <w:top w:val="none" w:sz="0" w:space="0" w:color="auto"/>
                                    <w:left w:val="none" w:sz="0" w:space="0" w:color="auto"/>
                                    <w:bottom w:val="none" w:sz="0" w:space="0" w:color="auto"/>
                                    <w:right w:val="none" w:sz="0" w:space="0" w:color="auto"/>
                                  </w:divBdr>
                                </w:div>
                                <w:div w:id="165218303">
                                  <w:marLeft w:val="0"/>
                                  <w:marRight w:val="0"/>
                                  <w:marTop w:val="0"/>
                                  <w:marBottom w:val="0"/>
                                  <w:divBdr>
                                    <w:top w:val="none" w:sz="0" w:space="0" w:color="auto"/>
                                    <w:left w:val="none" w:sz="0" w:space="0" w:color="auto"/>
                                    <w:bottom w:val="none" w:sz="0" w:space="0" w:color="auto"/>
                                    <w:right w:val="none" w:sz="0" w:space="0" w:color="auto"/>
                                  </w:divBdr>
                                  <w:divsChild>
                                    <w:div w:id="87674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5948521">
          <w:marLeft w:val="0"/>
          <w:marRight w:val="0"/>
          <w:marTop w:val="0"/>
          <w:marBottom w:val="0"/>
          <w:divBdr>
            <w:top w:val="none" w:sz="0" w:space="0" w:color="auto"/>
            <w:left w:val="none" w:sz="0" w:space="0" w:color="auto"/>
            <w:bottom w:val="none" w:sz="0" w:space="0" w:color="auto"/>
            <w:right w:val="none" w:sz="0" w:space="0" w:color="auto"/>
          </w:divBdr>
          <w:divsChild>
            <w:div w:id="1746535186">
              <w:marLeft w:val="0"/>
              <w:marRight w:val="0"/>
              <w:marTop w:val="0"/>
              <w:marBottom w:val="0"/>
              <w:divBdr>
                <w:top w:val="none" w:sz="0" w:space="0" w:color="auto"/>
                <w:left w:val="none" w:sz="0" w:space="0" w:color="auto"/>
                <w:bottom w:val="none" w:sz="0" w:space="0" w:color="auto"/>
                <w:right w:val="none" w:sz="0" w:space="0" w:color="auto"/>
              </w:divBdr>
              <w:divsChild>
                <w:div w:id="2048524858">
                  <w:marLeft w:val="0"/>
                  <w:marRight w:val="0"/>
                  <w:marTop w:val="0"/>
                  <w:marBottom w:val="0"/>
                  <w:divBdr>
                    <w:top w:val="none" w:sz="0" w:space="0" w:color="auto"/>
                    <w:left w:val="none" w:sz="0" w:space="0" w:color="auto"/>
                    <w:bottom w:val="none" w:sz="0" w:space="0" w:color="auto"/>
                    <w:right w:val="none" w:sz="0" w:space="0" w:color="auto"/>
                  </w:divBdr>
                  <w:divsChild>
                    <w:div w:id="1579440301">
                      <w:marLeft w:val="0"/>
                      <w:marRight w:val="0"/>
                      <w:marTop w:val="0"/>
                      <w:marBottom w:val="0"/>
                      <w:divBdr>
                        <w:top w:val="none" w:sz="0" w:space="0" w:color="auto"/>
                        <w:left w:val="none" w:sz="0" w:space="0" w:color="auto"/>
                        <w:bottom w:val="none" w:sz="0" w:space="0" w:color="auto"/>
                        <w:right w:val="none" w:sz="0" w:space="0" w:color="auto"/>
                      </w:divBdr>
                      <w:divsChild>
                        <w:div w:id="837695434">
                          <w:marLeft w:val="0"/>
                          <w:marRight w:val="0"/>
                          <w:marTop w:val="0"/>
                          <w:marBottom w:val="0"/>
                          <w:divBdr>
                            <w:top w:val="none" w:sz="0" w:space="0" w:color="auto"/>
                            <w:left w:val="none" w:sz="0" w:space="0" w:color="auto"/>
                            <w:bottom w:val="none" w:sz="0" w:space="0" w:color="auto"/>
                            <w:right w:val="none" w:sz="0" w:space="0" w:color="auto"/>
                          </w:divBdr>
                          <w:divsChild>
                            <w:div w:id="1387870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c.van.der.linden@rug.n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2620</Words>
  <Characters>14937</Characters>
  <Application>Microsoft Office Word</Application>
  <DocSecurity>8</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van der Linden</dc:creator>
  <cp:keywords/>
  <dc:description/>
  <cp:lastModifiedBy>Kylie Sago</cp:lastModifiedBy>
  <cp:revision>7</cp:revision>
  <cp:lastPrinted>2025-05-21T17:02:00Z</cp:lastPrinted>
  <dcterms:created xsi:type="dcterms:W3CDTF">2025-06-17T22:42:00Z</dcterms:created>
  <dcterms:modified xsi:type="dcterms:W3CDTF">2025-06-20T23:24:00Z</dcterms:modified>
</cp:coreProperties>
</file>