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0D" w:rsidRDefault="00853809">
      <w:pPr>
        <w:spacing w:before="63"/>
        <w:ind w:left="120"/>
      </w:pPr>
      <w:r>
        <w:t>French History and Civilization</w:t>
      </w:r>
    </w:p>
    <w:p w:rsidR="003D1B0D" w:rsidRDefault="003D1B0D">
      <w:pPr>
        <w:pStyle w:val="BodyText"/>
        <w:rPr>
          <w:sz w:val="20"/>
        </w:rPr>
      </w:pPr>
    </w:p>
    <w:p w:rsidR="003D1B0D" w:rsidRDefault="003D1B0D">
      <w:pPr>
        <w:pStyle w:val="BodyText"/>
        <w:spacing w:before="1"/>
        <w:rPr>
          <w:sz w:val="22"/>
        </w:rPr>
      </w:pPr>
    </w:p>
    <w:p w:rsidR="003D1B0D" w:rsidRDefault="00853809">
      <w:pPr>
        <w:ind w:left="3702" w:right="3700"/>
        <w:jc w:val="center"/>
        <w:rPr>
          <w:b/>
          <w:sz w:val="24"/>
        </w:rPr>
      </w:pPr>
      <w:r>
        <w:rPr>
          <w:b/>
          <w:sz w:val="24"/>
        </w:rPr>
        <w:t>Table of Contents</w:t>
      </w:r>
    </w:p>
    <w:p w:rsidR="00746125" w:rsidRDefault="00746125">
      <w:pPr>
        <w:pStyle w:val="BodyText"/>
        <w:tabs>
          <w:tab w:val="right" w:leader="dot" w:pos="9133"/>
        </w:tabs>
        <w:spacing w:before="271"/>
        <w:ind w:left="120"/>
      </w:pPr>
    </w:p>
    <w:p w:rsidR="003D1B0D" w:rsidRDefault="00853809">
      <w:pPr>
        <w:pStyle w:val="BodyText"/>
        <w:tabs>
          <w:tab w:val="right" w:leader="dot" w:pos="9133"/>
        </w:tabs>
        <w:spacing w:before="271"/>
        <w:ind w:left="120"/>
      </w:pPr>
      <w:r>
        <w:t>Abstracts</w:t>
      </w:r>
      <w:r>
        <w:tab/>
        <w:t>i</w:t>
      </w:r>
      <w:r w:rsidR="00450F42">
        <w:t>ii</w:t>
      </w:r>
    </w:p>
    <w:p w:rsidR="0050498F" w:rsidRDefault="0050498F" w:rsidP="00746125">
      <w:pPr>
        <w:pStyle w:val="BodyText"/>
        <w:tabs>
          <w:tab w:val="right" w:leader="dot" w:pos="9148"/>
        </w:tabs>
        <w:spacing w:before="260"/>
        <w:ind w:left="120"/>
      </w:pPr>
      <w:r>
        <w:t>Anniversary</w:t>
      </w:r>
      <w:r w:rsidR="00746125">
        <w:t xml:space="preserve"> Forum: George Rudé’s </w:t>
      </w:r>
      <w:r w:rsidR="00746125">
        <w:rPr>
          <w:i/>
          <w:iCs/>
        </w:rPr>
        <w:t>The Crowd in the French Revolution</w:t>
      </w:r>
      <w:r w:rsidR="00746125">
        <w:t xml:space="preserve">: </w:t>
      </w:r>
    </w:p>
    <w:p w:rsidR="003D1B0D" w:rsidRDefault="0050498F" w:rsidP="0050498F">
      <w:pPr>
        <w:pStyle w:val="BodyText"/>
        <w:tabs>
          <w:tab w:val="right" w:leader="dot" w:pos="9148"/>
        </w:tabs>
        <w:ind w:left="119"/>
      </w:pPr>
      <w:r>
        <w:t xml:space="preserve">            </w:t>
      </w:r>
      <w:r w:rsidR="00746125">
        <w:t>The First 50 Years</w:t>
      </w:r>
      <w:r w:rsidR="00853809">
        <w:tab/>
        <w:t>1</w:t>
      </w:r>
    </w:p>
    <w:p w:rsidR="003D1B0D" w:rsidRPr="00821E60" w:rsidRDefault="00746125">
      <w:pPr>
        <w:ind w:left="1559"/>
        <w:rPr>
          <w:i/>
          <w:sz w:val="24"/>
          <w:lang w:val="fr-FR"/>
        </w:rPr>
      </w:pPr>
      <w:r w:rsidRPr="00821E60">
        <w:rPr>
          <w:i/>
          <w:sz w:val="24"/>
          <w:lang w:val="fr-FR"/>
        </w:rPr>
        <w:t>Dominique Godineau</w:t>
      </w:r>
    </w:p>
    <w:p w:rsidR="00746125" w:rsidRPr="00821E60" w:rsidRDefault="00746125">
      <w:pPr>
        <w:ind w:left="1559"/>
        <w:rPr>
          <w:i/>
          <w:sz w:val="24"/>
          <w:lang w:val="fr-FR"/>
        </w:rPr>
      </w:pPr>
      <w:r w:rsidRPr="00821E60">
        <w:rPr>
          <w:i/>
          <w:sz w:val="24"/>
          <w:lang w:val="fr-FR"/>
        </w:rPr>
        <w:t>Colin Jones</w:t>
      </w:r>
    </w:p>
    <w:p w:rsidR="00746125" w:rsidRPr="00821E60" w:rsidRDefault="00746125">
      <w:pPr>
        <w:ind w:left="1559"/>
        <w:rPr>
          <w:i/>
          <w:sz w:val="24"/>
          <w:lang w:val="fr-FR"/>
        </w:rPr>
      </w:pPr>
      <w:r w:rsidRPr="00821E60">
        <w:rPr>
          <w:i/>
          <w:sz w:val="24"/>
          <w:lang w:val="fr-FR"/>
        </w:rPr>
        <w:t>Peter McPhee</w:t>
      </w:r>
    </w:p>
    <w:p w:rsidR="00746125" w:rsidRDefault="00746125">
      <w:pPr>
        <w:ind w:left="1559"/>
        <w:rPr>
          <w:i/>
          <w:sz w:val="24"/>
        </w:rPr>
      </w:pPr>
      <w:r>
        <w:rPr>
          <w:i/>
          <w:sz w:val="24"/>
        </w:rPr>
        <w:t>Don Sutherland</w:t>
      </w:r>
    </w:p>
    <w:p w:rsidR="003D1B0D" w:rsidRDefault="00746125" w:rsidP="00450F42">
      <w:pPr>
        <w:pStyle w:val="BodyText"/>
        <w:tabs>
          <w:tab w:val="right" w:leader="dot" w:pos="9148"/>
        </w:tabs>
        <w:spacing w:before="276"/>
        <w:ind w:left="840" w:right="115" w:hanging="720"/>
      </w:pPr>
      <w:r>
        <w:t>Frigidity, Curses, and Imagination: Thinking the Absence of Male Desire in the Seventeenth and Eighteenth Centuries</w:t>
      </w:r>
      <w:r w:rsidR="00853809">
        <w:tab/>
      </w:r>
      <w:r w:rsidR="00450F42">
        <w:t>15</w:t>
      </w:r>
    </w:p>
    <w:p w:rsidR="003D1B0D" w:rsidRDefault="00746125">
      <w:pPr>
        <w:ind w:left="1560"/>
        <w:rPr>
          <w:i/>
          <w:sz w:val="24"/>
        </w:rPr>
      </w:pPr>
      <w:r>
        <w:rPr>
          <w:i/>
          <w:sz w:val="24"/>
        </w:rPr>
        <w:t>Marion Philip</w:t>
      </w:r>
    </w:p>
    <w:p w:rsidR="003D1B0D" w:rsidRDefault="00746125" w:rsidP="00F23486">
      <w:pPr>
        <w:pStyle w:val="BodyText"/>
        <w:tabs>
          <w:tab w:val="right" w:leader="dot" w:pos="9148"/>
        </w:tabs>
        <w:spacing w:before="276"/>
        <w:ind w:left="840" w:right="115" w:hanging="720"/>
      </w:pPr>
      <w:r>
        <w:t>The French Elaboration of Ideas about Menopause, Sexuality, and Ageing 1805-1920</w:t>
      </w:r>
      <w:r w:rsidR="00853809">
        <w:tab/>
        <w:t>3</w:t>
      </w:r>
      <w:r w:rsidR="00F23486">
        <w:t>4</w:t>
      </w:r>
    </w:p>
    <w:p w:rsidR="003D1B0D" w:rsidRDefault="00746125">
      <w:pPr>
        <w:ind w:left="1560"/>
        <w:rPr>
          <w:i/>
          <w:sz w:val="24"/>
        </w:rPr>
      </w:pPr>
      <w:r>
        <w:rPr>
          <w:i/>
          <w:sz w:val="24"/>
        </w:rPr>
        <w:t>Alison M. Downham Moore</w:t>
      </w:r>
    </w:p>
    <w:p w:rsidR="003D1B0D" w:rsidRDefault="00746125" w:rsidP="00746125">
      <w:pPr>
        <w:pStyle w:val="BodyText"/>
        <w:tabs>
          <w:tab w:val="right" w:leader="dot" w:pos="9143"/>
        </w:tabs>
        <w:spacing w:before="276"/>
        <w:ind w:left="120"/>
      </w:pPr>
      <w:r>
        <w:t>Fin de Siècle Theories of Invention: Originality and Chance</w:t>
      </w:r>
      <w:r w:rsidR="00853809">
        <w:tab/>
        <w:t>51</w:t>
      </w:r>
    </w:p>
    <w:p w:rsidR="003D1B0D" w:rsidRPr="0050498F" w:rsidRDefault="00746125">
      <w:pPr>
        <w:ind w:left="1560"/>
        <w:rPr>
          <w:i/>
          <w:sz w:val="24"/>
          <w:lang w:val="en-AU"/>
        </w:rPr>
      </w:pPr>
      <w:r w:rsidRPr="0050498F">
        <w:rPr>
          <w:i/>
          <w:sz w:val="24"/>
          <w:lang w:val="en-AU"/>
        </w:rPr>
        <w:t>Susan Ashley</w:t>
      </w:r>
    </w:p>
    <w:p w:rsidR="003341A2" w:rsidRPr="00821E60" w:rsidRDefault="003341A2" w:rsidP="003341A2">
      <w:pPr>
        <w:pStyle w:val="BodyText"/>
        <w:tabs>
          <w:tab w:val="right" w:leader="dot" w:pos="9146"/>
        </w:tabs>
        <w:spacing w:before="276"/>
        <w:ind w:left="120"/>
        <w:rPr>
          <w:lang w:val="fr-FR"/>
        </w:rPr>
      </w:pPr>
      <w:r w:rsidRPr="00821E60">
        <w:rPr>
          <w:lang w:val="fr-FR"/>
        </w:rPr>
        <w:t xml:space="preserve">Construire les ponts en Savoie au XVIIe siècle: les voyages techniques d’un ingénieur du </w:t>
      </w:r>
    </w:p>
    <w:p w:rsidR="003341A2" w:rsidRPr="00821E60" w:rsidRDefault="003341A2" w:rsidP="00DF6AF7">
      <w:pPr>
        <w:pStyle w:val="BodyText"/>
        <w:tabs>
          <w:tab w:val="right" w:leader="dot" w:pos="9146"/>
        </w:tabs>
        <w:ind w:left="119"/>
        <w:rPr>
          <w:lang w:val="fr-FR"/>
        </w:rPr>
      </w:pPr>
      <w:r w:rsidRPr="00821E60">
        <w:rPr>
          <w:lang w:val="fr-FR"/>
        </w:rPr>
        <w:t xml:space="preserve">            duché de Savoie dans la France de Louis XIV</w:t>
      </w:r>
      <w:r w:rsidRPr="00821E60">
        <w:rPr>
          <w:spacing w:val="-8"/>
          <w:lang w:val="fr-FR"/>
        </w:rPr>
        <w:t xml:space="preserve"> </w:t>
      </w:r>
      <w:r w:rsidRPr="00821E60">
        <w:rPr>
          <w:lang w:val="fr-FR"/>
        </w:rPr>
        <w:t>(1670-1672)</w:t>
      </w:r>
      <w:r w:rsidRPr="00821E60">
        <w:rPr>
          <w:lang w:val="fr-FR"/>
        </w:rPr>
        <w:tab/>
      </w:r>
      <w:r w:rsidR="00DF6AF7">
        <w:rPr>
          <w:lang w:val="fr-FR"/>
        </w:rPr>
        <w:t>65</w:t>
      </w:r>
    </w:p>
    <w:p w:rsidR="003341A2" w:rsidRDefault="003341A2" w:rsidP="003341A2">
      <w:pPr>
        <w:ind w:left="1560"/>
        <w:rPr>
          <w:i/>
          <w:sz w:val="24"/>
        </w:rPr>
      </w:pPr>
      <w:r>
        <w:rPr>
          <w:i/>
          <w:sz w:val="24"/>
        </w:rPr>
        <w:t>Patricia Subirade</w:t>
      </w:r>
    </w:p>
    <w:p w:rsidR="003D1B0D" w:rsidRDefault="00746125" w:rsidP="003A49DC">
      <w:pPr>
        <w:pStyle w:val="BodyText"/>
        <w:tabs>
          <w:tab w:val="right" w:leader="dot" w:pos="9146"/>
        </w:tabs>
        <w:spacing w:before="276"/>
        <w:ind w:left="840" w:right="118" w:hanging="720"/>
      </w:pPr>
      <w:r>
        <w:t>Foreign Protestant Artisans in Eighteenth-Century Paris</w:t>
      </w:r>
      <w:r w:rsidR="00853809">
        <w:tab/>
      </w:r>
      <w:r w:rsidR="003A49DC">
        <w:t>91</w:t>
      </w:r>
    </w:p>
    <w:p w:rsidR="003D1B0D" w:rsidRDefault="00746125">
      <w:pPr>
        <w:ind w:left="1560"/>
        <w:rPr>
          <w:i/>
          <w:sz w:val="24"/>
        </w:rPr>
      </w:pPr>
      <w:r>
        <w:rPr>
          <w:i/>
          <w:sz w:val="24"/>
        </w:rPr>
        <w:t>David Garrioch</w:t>
      </w:r>
    </w:p>
    <w:p w:rsidR="008537A6" w:rsidRDefault="008537A6" w:rsidP="008537A6">
      <w:pPr>
        <w:pStyle w:val="BodyText"/>
        <w:tabs>
          <w:tab w:val="right" w:leader="dot" w:pos="9139"/>
        </w:tabs>
        <w:spacing w:before="276"/>
        <w:ind w:left="840" w:right="119" w:hanging="720"/>
      </w:pPr>
      <w:r>
        <w:t>“Fearful of Being Pursued”: Environmental Problems and Opportunities in Policing the Forests</w:t>
      </w:r>
      <w:r w:rsidR="006310EB">
        <w:t xml:space="preserve"> of Pre-Revolutionary France</w:t>
      </w:r>
      <w:r w:rsidR="006310EB">
        <w:tab/>
        <w:t>105</w:t>
      </w:r>
    </w:p>
    <w:p w:rsidR="008537A6" w:rsidRDefault="008537A6" w:rsidP="008537A6">
      <w:pPr>
        <w:ind w:left="1560"/>
        <w:rPr>
          <w:i/>
          <w:sz w:val="24"/>
        </w:rPr>
      </w:pPr>
      <w:r>
        <w:rPr>
          <w:i/>
          <w:sz w:val="24"/>
        </w:rPr>
        <w:t>Hamish Graham</w:t>
      </w:r>
    </w:p>
    <w:p w:rsidR="003D1B0D" w:rsidRDefault="00567704" w:rsidP="009D42CB">
      <w:pPr>
        <w:pStyle w:val="BodyText"/>
        <w:tabs>
          <w:tab w:val="right" w:leader="dot" w:pos="9143"/>
        </w:tabs>
        <w:spacing w:before="276"/>
        <w:ind w:left="120"/>
      </w:pPr>
      <w:r>
        <w:t>The Modern Classical Guitar and the French Revolution</w:t>
      </w:r>
      <w:r w:rsidR="00853809">
        <w:tab/>
      </w:r>
      <w:r w:rsidR="009D42CB">
        <w:t>118</w:t>
      </w:r>
    </w:p>
    <w:p w:rsidR="003D1B0D" w:rsidRPr="00821E60" w:rsidRDefault="00567704">
      <w:pPr>
        <w:ind w:left="1560"/>
        <w:rPr>
          <w:i/>
          <w:sz w:val="24"/>
          <w:lang w:val="fr-FR"/>
        </w:rPr>
      </w:pPr>
      <w:r w:rsidRPr="00821E60">
        <w:rPr>
          <w:i/>
          <w:sz w:val="24"/>
          <w:lang w:val="fr-FR"/>
        </w:rPr>
        <w:t>Kirsty Carpenter</w:t>
      </w:r>
    </w:p>
    <w:p w:rsidR="00E670D4" w:rsidRDefault="00A70239" w:rsidP="00E670D4">
      <w:pPr>
        <w:pStyle w:val="BodyText"/>
        <w:tabs>
          <w:tab w:val="right" w:leader="dot" w:pos="9146"/>
        </w:tabs>
        <w:spacing w:before="276"/>
        <w:rPr>
          <w:lang w:val="fr-FR"/>
        </w:rPr>
      </w:pPr>
      <w:r>
        <w:rPr>
          <w:lang w:val="fr-FR"/>
        </w:rPr>
        <w:t xml:space="preserve">  </w:t>
      </w:r>
      <w:r w:rsidR="00821E60" w:rsidRPr="00821E60">
        <w:rPr>
          <w:lang w:val="fr-FR"/>
        </w:rPr>
        <w:t xml:space="preserve">Confiscations révolutionnaires et histoire des bibliothèques françaises: un </w:t>
      </w:r>
      <w:r w:rsidR="00821E60">
        <w:rPr>
          <w:lang w:val="fr-FR"/>
        </w:rPr>
        <w:t xml:space="preserve">« moment     </w:t>
      </w:r>
    </w:p>
    <w:p w:rsidR="003D1B0D" w:rsidRPr="00821E60" w:rsidRDefault="00E670D4" w:rsidP="00E03FE5">
      <w:pPr>
        <w:pStyle w:val="BodyText"/>
        <w:tabs>
          <w:tab w:val="right" w:leader="dot" w:pos="9146"/>
        </w:tabs>
        <w:rPr>
          <w:lang w:val="fr-FR"/>
        </w:rPr>
      </w:pPr>
      <w:r>
        <w:rPr>
          <w:lang w:val="fr-FR"/>
        </w:rPr>
        <w:t xml:space="preserve">               </w:t>
      </w:r>
      <w:r w:rsidR="00821E60">
        <w:rPr>
          <w:lang w:val="fr-FR"/>
        </w:rPr>
        <w:t>fondateur » à revisiter</w:t>
      </w:r>
      <w:r w:rsidR="00853809" w:rsidRPr="00821E60">
        <w:rPr>
          <w:lang w:val="fr-FR"/>
        </w:rPr>
        <w:tab/>
        <w:t>1</w:t>
      </w:r>
      <w:r w:rsidR="00E03FE5">
        <w:rPr>
          <w:lang w:val="fr-FR"/>
        </w:rPr>
        <w:t>33</w:t>
      </w:r>
    </w:p>
    <w:p w:rsidR="003D1B0D" w:rsidRPr="00821E60" w:rsidRDefault="00821E60">
      <w:pPr>
        <w:ind w:left="1559"/>
        <w:rPr>
          <w:i/>
          <w:sz w:val="24"/>
          <w:lang w:val="fr-FR"/>
        </w:rPr>
      </w:pPr>
      <w:r w:rsidRPr="00821E60">
        <w:rPr>
          <w:i/>
          <w:sz w:val="24"/>
          <w:lang w:val="fr-FR"/>
        </w:rPr>
        <w:t>Jean-Dominique Mellot</w:t>
      </w:r>
    </w:p>
    <w:p w:rsidR="003D1B0D" w:rsidRPr="002F03AD" w:rsidRDefault="002F03AD" w:rsidP="00E03FE5">
      <w:pPr>
        <w:pStyle w:val="BodyText"/>
        <w:tabs>
          <w:tab w:val="right" w:leader="dot" w:pos="9119"/>
        </w:tabs>
        <w:spacing w:before="276"/>
        <w:ind w:left="839" w:right="117" w:hanging="720"/>
        <w:rPr>
          <w:lang w:val="fr-FR"/>
        </w:rPr>
      </w:pPr>
      <w:r w:rsidRPr="002F03AD">
        <w:rPr>
          <w:lang w:val="fr-FR"/>
        </w:rPr>
        <w:t xml:space="preserve">Ayant-été et ‘petit détail’ dans cinq mises en texte du </w:t>
      </w:r>
      <w:r>
        <w:rPr>
          <w:lang w:val="fr-FR"/>
        </w:rPr>
        <w:t>ré</w:t>
      </w:r>
      <w:r w:rsidRPr="002F03AD">
        <w:rPr>
          <w:lang w:val="fr-FR"/>
        </w:rPr>
        <w:t>el de l’après-Shoah: P.</w:t>
      </w:r>
      <w:r>
        <w:rPr>
          <w:lang w:val="fr-FR"/>
        </w:rPr>
        <w:t xml:space="preserve"> Modiano, Y. Haenel, L. Binet, O. Guez et I. Jablonka</w:t>
      </w:r>
      <w:r w:rsidR="00853809" w:rsidRPr="002F03AD">
        <w:rPr>
          <w:lang w:val="fr-FR"/>
        </w:rPr>
        <w:tab/>
        <w:t>1</w:t>
      </w:r>
      <w:r w:rsidR="00E03FE5">
        <w:rPr>
          <w:lang w:val="fr-FR"/>
        </w:rPr>
        <w:t>48</w:t>
      </w:r>
    </w:p>
    <w:p w:rsidR="003D1B0D" w:rsidRPr="00A70239" w:rsidRDefault="00E670D4">
      <w:pPr>
        <w:ind w:left="1559"/>
        <w:rPr>
          <w:i/>
          <w:sz w:val="24"/>
          <w:lang w:val="en-AU"/>
        </w:rPr>
      </w:pPr>
      <w:r w:rsidRPr="00A70239">
        <w:rPr>
          <w:i/>
          <w:sz w:val="24"/>
          <w:lang w:val="en-AU"/>
        </w:rPr>
        <w:t>France Grenaudier-Klijn</w:t>
      </w:r>
    </w:p>
    <w:p w:rsidR="003D1B0D" w:rsidRPr="002F03AD" w:rsidRDefault="002F03AD" w:rsidP="00E83E8B">
      <w:pPr>
        <w:pStyle w:val="BodyText"/>
        <w:tabs>
          <w:tab w:val="right" w:leader="dot" w:pos="9143"/>
        </w:tabs>
        <w:spacing w:before="276"/>
        <w:ind w:left="119"/>
        <w:rPr>
          <w:lang w:val="en-AU"/>
        </w:rPr>
      </w:pPr>
      <w:r>
        <w:rPr>
          <w:lang w:val="en-AU"/>
        </w:rPr>
        <w:t xml:space="preserve">France and New Zealand: A Post-World War I Trade-Based Relationship? </w:t>
      </w:r>
      <w:r w:rsidR="00853809" w:rsidRPr="002F03AD">
        <w:rPr>
          <w:lang w:val="en-AU"/>
        </w:rPr>
        <w:tab/>
        <w:t>1</w:t>
      </w:r>
      <w:r w:rsidR="00E83E8B">
        <w:rPr>
          <w:lang w:val="en-AU"/>
        </w:rPr>
        <w:t>63</w:t>
      </w:r>
    </w:p>
    <w:p w:rsidR="003D1B0D" w:rsidRDefault="002F03AD">
      <w:pPr>
        <w:ind w:left="1559"/>
        <w:rPr>
          <w:i/>
          <w:sz w:val="24"/>
        </w:rPr>
      </w:pPr>
      <w:r>
        <w:rPr>
          <w:i/>
          <w:sz w:val="24"/>
        </w:rPr>
        <w:t>Alistair Watts</w:t>
      </w:r>
    </w:p>
    <w:p w:rsidR="003D1B0D" w:rsidRDefault="002F03AD" w:rsidP="00B020A3">
      <w:pPr>
        <w:pStyle w:val="BodyText"/>
        <w:tabs>
          <w:tab w:val="right" w:leader="dot" w:pos="9146"/>
        </w:tabs>
        <w:spacing w:before="276"/>
        <w:ind w:left="839" w:right="118" w:hanging="720"/>
      </w:pPr>
      <w:r>
        <w:rPr>
          <w:lang w:val="en-AU"/>
        </w:rPr>
        <w:t>Robert Michels and French Socialism and Syndicalism</w:t>
      </w:r>
      <w:r w:rsidR="00853809">
        <w:tab/>
        <w:t>1</w:t>
      </w:r>
      <w:r w:rsidR="00B020A3">
        <w:t>74</w:t>
      </w:r>
    </w:p>
    <w:p w:rsidR="003D1B0D" w:rsidRDefault="002F03AD">
      <w:pPr>
        <w:ind w:left="1559"/>
        <w:rPr>
          <w:i/>
          <w:sz w:val="24"/>
        </w:rPr>
      </w:pPr>
      <w:r>
        <w:rPr>
          <w:i/>
          <w:sz w:val="24"/>
        </w:rPr>
        <w:t>Andrew Bonnell</w:t>
      </w:r>
    </w:p>
    <w:p w:rsidR="003D1B0D" w:rsidRDefault="003D1B0D">
      <w:pPr>
        <w:rPr>
          <w:sz w:val="24"/>
        </w:rPr>
        <w:sectPr w:rsidR="003D1B0D">
          <w:type w:val="continuous"/>
          <w:pgSz w:w="11910" w:h="16840"/>
          <w:pgMar w:top="620" w:right="1320" w:bottom="280" w:left="1320" w:header="720" w:footer="720" w:gutter="0"/>
          <w:cols w:space="720"/>
        </w:sectPr>
      </w:pPr>
    </w:p>
    <w:p w:rsidR="003D1B0D" w:rsidRDefault="00853809">
      <w:pPr>
        <w:spacing w:before="63"/>
        <w:ind w:left="120" w:firstLine="6232"/>
      </w:pPr>
      <w:r>
        <w:lastRenderedPageBreak/>
        <w:t>French History and Civilization</w:t>
      </w:r>
    </w:p>
    <w:p w:rsidR="003D1B0D" w:rsidRDefault="00853809" w:rsidP="00853809">
      <w:pPr>
        <w:pStyle w:val="BodyText"/>
        <w:tabs>
          <w:tab w:val="left" w:leader="dot" w:pos="8788"/>
        </w:tabs>
        <w:spacing w:before="479"/>
        <w:ind w:left="839" w:right="115" w:hanging="720"/>
      </w:pPr>
      <w:r>
        <w:t>The Six 68s</w:t>
      </w:r>
      <w:r w:rsidR="001935F5">
        <w:t xml:space="preserve"> of Daniel Cohn-Bendit</w:t>
      </w:r>
      <w:r w:rsidR="001935F5">
        <w:tab/>
        <w:t>189</w:t>
      </w:r>
    </w:p>
    <w:p w:rsidR="003D1B0D" w:rsidRDefault="002F03AD">
      <w:pPr>
        <w:ind w:left="1559"/>
        <w:rPr>
          <w:i/>
          <w:sz w:val="24"/>
        </w:rPr>
      </w:pPr>
      <w:r>
        <w:rPr>
          <w:i/>
          <w:sz w:val="24"/>
        </w:rPr>
        <w:t>Ben Mercer</w:t>
      </w:r>
    </w:p>
    <w:p w:rsidR="003D1B0D" w:rsidRDefault="00853809" w:rsidP="00640835">
      <w:pPr>
        <w:pStyle w:val="BodyText"/>
        <w:tabs>
          <w:tab w:val="left" w:leader="dot" w:pos="8783"/>
        </w:tabs>
        <w:spacing w:before="276"/>
        <w:ind w:left="839" w:right="120" w:hanging="720"/>
      </w:pPr>
      <w:r>
        <w:t>Reflections on Writing French History after the GFC, Le Pen, and Piketty</w:t>
      </w:r>
      <w:r>
        <w:tab/>
      </w:r>
      <w:r w:rsidR="00640835">
        <w:t>205</w:t>
      </w:r>
      <w:bookmarkStart w:id="0" w:name="_GoBack"/>
      <w:bookmarkEnd w:id="0"/>
    </w:p>
    <w:p w:rsidR="003D1B0D" w:rsidRDefault="00853809">
      <w:pPr>
        <w:ind w:left="1559"/>
        <w:rPr>
          <w:i/>
          <w:sz w:val="24"/>
        </w:rPr>
      </w:pPr>
      <w:r>
        <w:rPr>
          <w:i/>
          <w:sz w:val="24"/>
        </w:rPr>
        <w:t>Charles Sowerwine</w:t>
      </w:r>
    </w:p>
    <w:sectPr w:rsidR="003D1B0D">
      <w:pgSz w:w="11910" w:h="16840"/>
      <w:pgMar w:top="6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1B0D"/>
    <w:rsid w:val="001935F5"/>
    <w:rsid w:val="002F03AD"/>
    <w:rsid w:val="003341A2"/>
    <w:rsid w:val="003A49DC"/>
    <w:rsid w:val="003D1B0D"/>
    <w:rsid w:val="00450F42"/>
    <w:rsid w:val="0050498F"/>
    <w:rsid w:val="00567704"/>
    <w:rsid w:val="006310EB"/>
    <w:rsid w:val="00640835"/>
    <w:rsid w:val="00746125"/>
    <w:rsid w:val="00821E60"/>
    <w:rsid w:val="008537A6"/>
    <w:rsid w:val="00853809"/>
    <w:rsid w:val="009D42CB"/>
    <w:rsid w:val="00A65C7C"/>
    <w:rsid w:val="00A70239"/>
    <w:rsid w:val="00B020A3"/>
    <w:rsid w:val="00DF6AF7"/>
    <w:rsid w:val="00E03FE5"/>
    <w:rsid w:val="00E670D4"/>
    <w:rsid w:val="00E83E8B"/>
    <w:rsid w:val="00F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C32D"/>
  <w15:docId w15:val="{584085AA-EE63-499A-B1BB-852E7BE8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341A2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val="fr-FR"/>
    </w:rPr>
  </w:style>
  <w:style w:type="paragraph" w:customStyle="1" w:styleId="xmsonormal">
    <w:name w:val="x_msonormal"/>
    <w:basedOn w:val="Normal"/>
    <w:uiPriority w:val="99"/>
    <w:rsid w:val="002F03AD"/>
    <w:pPr>
      <w:widowControl/>
      <w:autoSpaceDE/>
      <w:autoSpaceDN/>
    </w:pPr>
    <w:rPr>
      <w:rFonts w:eastAsiaTheme="minorHAnsi"/>
      <w:sz w:val="24"/>
      <w:szCs w:val="24"/>
      <w:lang w:val="en-AU" w:eastAsia="en-AU"/>
    </w:rPr>
  </w:style>
  <w:style w:type="paragraph" w:customStyle="1" w:styleId="Title14">
    <w:name w:val="Title 14"/>
    <w:basedOn w:val="Normal"/>
    <w:rsid w:val="00853809"/>
    <w:pPr>
      <w:keepNext/>
      <w:widowControl/>
      <w:tabs>
        <w:tab w:val="left" w:pos="851"/>
        <w:tab w:val="left" w:pos="1701"/>
        <w:tab w:val="left" w:pos="4560"/>
        <w:tab w:val="left" w:pos="5680"/>
      </w:tabs>
      <w:autoSpaceDE/>
      <w:autoSpaceDN/>
      <w:spacing w:line="480" w:lineRule="atLeast"/>
      <w:contextualSpacing/>
      <w:jc w:val="center"/>
    </w:pPr>
    <w:rPr>
      <w:rFonts w:eastAsiaTheme="minorHAnsi"/>
      <w:b/>
      <w:color w:val="000000"/>
      <w:sz w:val="2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254</Words>
  <Characters>1416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Jury</dc:creator>
  <cp:lastModifiedBy>Ed.</cp:lastModifiedBy>
  <cp:revision>22</cp:revision>
  <dcterms:created xsi:type="dcterms:W3CDTF">2019-06-20T15:32:00Z</dcterms:created>
  <dcterms:modified xsi:type="dcterms:W3CDTF">2019-06-24T04:15:00Z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2019-06-20T00:00:00Z</vt:filetime>
  </property>
</Properties>
</file>